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117475</wp:posOffset>
            </wp:positionV>
            <wp:extent cx="1303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137160</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31"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740" w:right="700" w:hanging="2743"/>
        <w:spacing w:after="0" w:line="410"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2068830</wp:posOffset>
            </wp:positionH>
            <wp:positionV relativeFrom="paragraph">
              <wp:posOffset>2540</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8" w:lineRule="exact"/>
        <w:rPr>
          <w:sz w:val="24"/>
          <w:szCs w:val="24"/>
          <w:color w:val="auto"/>
        </w:rPr>
      </w:pPr>
    </w:p>
    <w:p>
      <w:pPr>
        <w:sectPr>
          <w:pgSz w:w="11900" w:h="16838" w:orient="portrait"/>
          <w:cols w:equalWidth="0" w:num="2">
            <w:col w:w="940" w:space="400"/>
            <w:col w:w="9900"/>
          </w:cols>
          <w:pgMar w:left="320" w:top="235"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109220</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38"/>
              <w:spacing w:after="0"/>
              <w:rPr>
                <w:sz w:val="20"/>
                <w:szCs w:val="20"/>
                <w:color w:val="auto"/>
              </w:rPr>
            </w:pPr>
            <w:r>
              <w:rPr>
                <w:rFonts w:ascii="Arial" w:cs="Arial" w:eastAsia="Arial" w:hAnsi="Arial"/>
                <w:sz w:val="18"/>
                <w:szCs w:val="18"/>
                <w:b w:val="1"/>
                <w:bCs w:val="1"/>
                <w:color w:val="auto"/>
              </w:rPr>
              <w:t>Delaware</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9"/>
              </w:rPr>
              <w:t>01-0666114</w:t>
            </w:r>
          </w:p>
        </w:tc>
      </w:tr>
      <w:tr>
        <w:trPr>
          <w:trHeight w:val="149"/>
        </w:trPr>
        <w:tc>
          <w:tcPr>
            <w:tcW w:w="3780" w:type="dxa"/>
            <w:vAlign w:val="bottom"/>
          </w:tcPr>
          <w:p>
            <w:pPr>
              <w:jc w:val="center"/>
              <w:ind w:left="133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200"/>
        </w:trPr>
        <w:tc>
          <w:tcPr>
            <w:tcW w:w="3780" w:type="dxa"/>
            <w:vAlign w:val="bottom"/>
          </w:tcPr>
          <w:p>
            <w:pPr>
              <w:jc w:val="center"/>
              <w:ind w:left="133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Pr>
          <w:p>
            <w:pPr>
              <w:jc w:val="center"/>
              <w:ind w:right="1839"/>
              <w:spacing w:after="0"/>
              <w:rPr>
                <w:sz w:val="20"/>
                <w:szCs w:val="20"/>
                <w:color w:val="auto"/>
              </w:rPr>
            </w:pPr>
            <w:r>
              <w:rPr>
                <w:rFonts w:ascii="Arial" w:cs="Arial" w:eastAsia="Arial" w:hAnsi="Arial"/>
                <w:sz w:val="14"/>
                <w:szCs w:val="14"/>
                <w:b w:val="1"/>
                <w:bCs w:val="1"/>
                <w:color w:val="auto"/>
              </w:rPr>
              <w:t>Identification Number)</w:t>
            </w:r>
          </w:p>
        </w:tc>
      </w:tr>
      <w:tr>
        <w:trPr>
          <w:trHeight w:val="276"/>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80" w:type="dxa"/>
            <w:vAlign w:val="bottom"/>
            <w:gridSpan w:val="3"/>
          </w:tcPr>
          <w:p>
            <w:pPr>
              <w:jc w:val="right"/>
              <w:ind w:right="697"/>
              <w:spacing w:after="0"/>
              <w:rPr>
                <w:sz w:val="20"/>
                <w:szCs w:val="20"/>
                <w:color w:val="auto"/>
              </w:rPr>
            </w:pPr>
            <w:r>
              <w:rPr>
                <w:rFonts w:ascii="Arial" w:cs="Arial" w:eastAsia="Arial" w:hAnsi="Arial"/>
                <w:sz w:val="18"/>
                <w:szCs w:val="18"/>
                <w:b w:val="1"/>
                <w:bCs w:val="1"/>
                <w:color w:val="auto"/>
              </w:rPr>
              <w:t>60607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20" w:type="dxa"/>
            <w:vAlign w:val="bottom"/>
            <w:gridSpan w:val="5"/>
          </w:tcPr>
          <w:p>
            <w:pPr>
              <w:jc w:val="center"/>
              <w:ind w:left="37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200"/>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7"/>
                <w:szCs w:val="17"/>
                <w:color w:val="auto"/>
              </w:rPr>
            </w:pPr>
          </w:p>
        </w:tc>
      </w:tr>
      <w:tr>
        <w:trPr>
          <w:trHeight w:val="299"/>
        </w:trPr>
        <w:tc>
          <w:tcPr>
            <w:tcW w:w="3780" w:type="dxa"/>
            <w:vAlign w:val="bottom"/>
          </w:tcPr>
          <w:p>
            <w:pPr>
              <w:spacing w:after="0"/>
              <w:rPr>
                <w:sz w:val="24"/>
                <w:szCs w:val="24"/>
                <w:color w:val="auto"/>
              </w:rPr>
            </w:pPr>
          </w:p>
        </w:tc>
        <w:tc>
          <w:tcPr>
            <w:tcW w:w="2880" w:type="dxa"/>
            <w:vAlign w:val="bottom"/>
            <w:gridSpan w:val="3"/>
          </w:tcPr>
          <w:p>
            <w:pPr>
              <w:jc w:val="right"/>
              <w:ind w:right="337"/>
              <w:spacing w:after="0"/>
              <w:rPr>
                <w:sz w:val="20"/>
                <w:szCs w:val="20"/>
                <w:color w:val="auto"/>
              </w:rPr>
            </w:pPr>
            <w:r>
              <w:rPr>
                <w:rFonts w:ascii="Arial" w:cs="Arial" w:eastAsia="Arial" w:hAnsi="Arial"/>
                <w:sz w:val="18"/>
                <w:szCs w:val="18"/>
                <w:b w:val="1"/>
                <w:bCs w:val="1"/>
                <w:color w:val="auto"/>
              </w:rPr>
              <w:t>(312) 583-8700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0"/>
        </w:trPr>
        <w:tc>
          <w:tcPr>
            <w:tcW w:w="3780" w:type="dxa"/>
            <w:vAlign w:val="bottom"/>
          </w:tcPr>
          <w:p>
            <w:pPr>
              <w:spacing w:after="0"/>
              <w:rPr>
                <w:sz w:val="17"/>
                <w:szCs w:val="17"/>
                <w:color w:val="auto"/>
              </w:rPr>
            </w:pPr>
          </w:p>
        </w:tc>
        <w:tc>
          <w:tcPr>
            <w:tcW w:w="7140" w:type="dxa"/>
            <w:vAlign w:val="bottom"/>
            <w:gridSpan w:val="6"/>
          </w:tcPr>
          <w:p>
            <w:pPr>
              <w:jc w:val="center"/>
              <w:ind w:right="337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50"/>
        </w:trPr>
        <w:tc>
          <w:tcPr>
            <w:tcW w:w="43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73"/>
        </w:trPr>
        <w:tc>
          <w:tcPr>
            <w:tcW w:w="7000" w:type="dxa"/>
            <w:vAlign w:val="bottom"/>
            <w:gridSpan w:val="6"/>
          </w:tcPr>
          <w:p>
            <w:pPr>
              <w:jc w:val="center"/>
              <w:ind w:right="266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3"/>
                <w:szCs w:val="23"/>
                <w:color w:val="auto"/>
              </w:rPr>
            </w:pPr>
          </w:p>
        </w:tc>
      </w:tr>
      <w:tr>
        <w:trPr>
          <w:trHeight w:val="126"/>
        </w:trPr>
        <w:tc>
          <w:tcPr>
            <w:tcW w:w="3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r>
      <w:tr>
        <w:trPr>
          <w:trHeight w:val="223"/>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gridSpan w:val="2"/>
          </w:tcPr>
          <w:p>
            <w:pPr>
              <w:jc w:val="center"/>
              <w:ind w:right="300"/>
              <w:spacing w:after="0"/>
              <w:rPr>
                <w:sz w:val="20"/>
                <w:szCs w:val="20"/>
                <w:color w:val="auto"/>
              </w:rPr>
            </w:pPr>
            <w:r>
              <w:rPr>
                <w:rFonts w:ascii="Arial" w:cs="Arial" w:eastAsia="Arial" w:hAnsi="Arial"/>
                <w:sz w:val="17"/>
                <w:szCs w:val="17"/>
                <w:b w:val="1"/>
                <w:bCs w:val="1"/>
                <w:color w:val="auto"/>
                <w:w w:val="99"/>
              </w:rPr>
              <w:t>Trading Symbol(s)</w:t>
            </w:r>
          </w:p>
        </w:tc>
        <w:tc>
          <w:tcPr>
            <w:tcW w:w="18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17"/>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jc w:val="center"/>
              <w:ind w:right="300"/>
              <w:spacing w:after="0"/>
              <w:rPr>
                <w:sz w:val="20"/>
                <w:szCs w:val="20"/>
                <w:color w:val="auto"/>
              </w:rPr>
            </w:pPr>
            <w:r>
              <w:rPr>
                <w:rFonts w:ascii="Arial" w:cs="Arial" w:eastAsia="Arial" w:hAnsi="Arial"/>
                <w:sz w:val="17"/>
                <w:szCs w:val="17"/>
                <w:color w:val="auto"/>
                <w:w w:val="97"/>
              </w:rPr>
              <w:t>HURN</w:t>
            </w: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7"/>
                <w:szCs w:val="17"/>
                <w:color w:val="auto"/>
              </w:rPr>
              <w:t>NASDAQ Global Select Market</w:t>
            </w:r>
          </w:p>
        </w:tc>
      </w:tr>
    </w:tbl>
    <w:p>
      <w:pPr>
        <w:spacing w:after="0" w:line="63" w:lineRule="exact"/>
        <w:rPr>
          <w:sz w:val="24"/>
          <w:szCs w:val="24"/>
          <w:color w:val="auto"/>
        </w:rPr>
      </w:pPr>
    </w:p>
    <w:p>
      <w:pPr>
        <w:jc w:val="both"/>
        <w:ind w:right="300"/>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8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2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w w:val="99"/>
              </w:rPr>
              <w:t>Smaller Reporting</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7"/>
        </w:trPr>
        <w:tc>
          <w:tcPr>
            <w:tcW w:w="23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rPr>
              <w:t>Company</w:t>
            </w:r>
          </w:p>
        </w:tc>
        <w:tc>
          <w:tcPr>
            <w:tcW w:w="540" w:type="dxa"/>
            <w:vAlign w:val="bottom"/>
            <w:vMerge w:val="continue"/>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both"/>
        <w:ind w:right="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1320"/>
        <w:spacing w:after="0" w:line="26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As of July 20, 2023, 19,024,193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740410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20320</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120" w:type="dxa"/>
            <w:vAlign w:val="bottom"/>
            <w:gridSpan w:val="21"/>
            <w:vMerge w:val="restart"/>
          </w:tcPr>
          <w:p>
            <w:pPr>
              <w:ind w:left="320"/>
              <w:spacing w:after="0"/>
              <w:rPr>
                <w:sz w:val="20"/>
                <w:szCs w:val="20"/>
                <w:color w:val="auto"/>
              </w:rPr>
            </w:pPr>
            <w:r>
              <w:rPr>
                <w:rFonts w:ascii="Arial" w:cs="Arial" w:eastAsia="Arial" w:hAnsi="Arial"/>
                <w:sz w:val="18"/>
                <w:szCs w:val="18"/>
                <w:b w:val="1"/>
                <w:bCs w:val="1"/>
                <w:color w:val="0000FF"/>
              </w:rPr>
              <w:t>Part I – Financial Information</w:t>
            </w:r>
          </w:p>
        </w:tc>
        <w:tc>
          <w:tcPr>
            <w:tcW w:w="1120" w:type="dxa"/>
            <w:vAlign w:val="bottom"/>
            <w:gridSpan w:val="5"/>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0120" w:type="dxa"/>
            <w:vAlign w:val="bottom"/>
            <w:gridSpan w:val="21"/>
            <w:vMerge w:val="continue"/>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37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Consolidated Financial Statements (Unaudited)</w:t>
            </w:r>
          </w:p>
        </w:tc>
        <w:tc>
          <w:tcPr>
            <w:tcW w:w="47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40" w:type="dxa"/>
            <w:vAlign w:val="bottom"/>
            <w:gridSpan w:val="18"/>
          </w:tcPr>
          <w:p>
            <w:pPr>
              <w:spacing w:after="0"/>
              <w:rPr>
                <w:sz w:val="20"/>
                <w:szCs w:val="20"/>
                <w:color w:val="auto"/>
              </w:rPr>
            </w:pPr>
            <w:r>
              <w:rPr>
                <w:rFonts w:ascii="Arial" w:cs="Arial" w:eastAsia="Arial" w:hAnsi="Arial"/>
                <w:sz w:val="18"/>
                <w:szCs w:val="18"/>
                <w:color w:val="0000FF"/>
              </w:rPr>
              <w:t>Consolidated Balance Sheets</w:t>
            </w: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40" w:type="dxa"/>
            <w:vAlign w:val="bottom"/>
            <w:gridSpan w:val="18"/>
          </w:tcPr>
          <w:p>
            <w:pPr>
              <w:spacing w:after="0"/>
              <w:rPr>
                <w:sz w:val="20"/>
                <w:szCs w:val="20"/>
                <w:color w:val="auto"/>
              </w:rPr>
            </w:pPr>
            <w:r>
              <w:rPr>
                <w:rFonts w:ascii="Arial" w:cs="Arial" w:eastAsia="Arial" w:hAnsi="Arial"/>
                <w:sz w:val="18"/>
                <w:szCs w:val="18"/>
                <w:color w:val="0000FF"/>
              </w:rPr>
              <w:t>Consolidated Statements of Operations and Other Comprehensive Income</w:t>
            </w: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00" w:type="dxa"/>
            <w:vAlign w:val="bottom"/>
            <w:gridSpan w:val="2"/>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8"/>
                <w:szCs w:val="18"/>
                <w:color w:val="0000FF"/>
              </w:rPr>
              <w:t>Consolidated Statements of Cash Flows</w:t>
            </w:r>
          </w:p>
        </w:tc>
        <w:tc>
          <w:tcPr>
            <w:tcW w:w="4660" w:type="dxa"/>
            <w:vAlign w:val="bottom"/>
            <w:gridSpan w:val="5"/>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40" w:type="dxa"/>
            <w:vAlign w:val="bottom"/>
            <w:gridSpan w:val="18"/>
          </w:tcPr>
          <w:p>
            <w:pPr>
              <w:spacing w:after="0"/>
              <w:rPr>
                <w:sz w:val="20"/>
                <w:szCs w:val="20"/>
                <w:color w:val="auto"/>
              </w:rPr>
            </w:pPr>
            <w:r>
              <w:rPr>
                <w:rFonts w:ascii="Arial" w:cs="Arial" w:eastAsia="Arial" w:hAnsi="Arial"/>
                <w:sz w:val="18"/>
                <w:szCs w:val="18"/>
                <w:color w:val="0000FF"/>
              </w:rPr>
              <w:t>Notes to Consolidated Financial Statements</w:t>
            </w: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6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5"/>
              </w:rPr>
              <w:t>Controls and Procedures</w:t>
            </w:r>
          </w:p>
        </w:tc>
        <w:tc>
          <w:tcPr>
            <w:tcW w:w="2760" w:type="dxa"/>
            <w:vAlign w:val="bottom"/>
            <w:gridSpan w:val="7"/>
          </w:tcPr>
          <w:p>
            <w:pPr>
              <w:spacing w:after="0"/>
              <w:rPr>
                <w:sz w:val="22"/>
                <w:szCs w:val="22"/>
                <w:color w:val="auto"/>
              </w:rPr>
            </w:pPr>
          </w:p>
        </w:tc>
        <w:tc>
          <w:tcPr>
            <w:tcW w:w="3840" w:type="dxa"/>
            <w:vAlign w:val="bottom"/>
            <w:gridSpan w:val="4"/>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120" w:type="dxa"/>
            <w:vAlign w:val="bottom"/>
            <w:gridSpan w:val="21"/>
          </w:tcPr>
          <w:p>
            <w:pPr>
              <w:ind w:left="320"/>
              <w:spacing w:after="0"/>
              <w:rPr>
                <w:sz w:val="20"/>
                <w:szCs w:val="20"/>
                <w:color w:val="auto"/>
              </w:rPr>
            </w:pPr>
            <w:r>
              <w:rPr>
                <w:rFonts w:ascii="Arial" w:cs="Arial" w:eastAsia="Arial" w:hAnsi="Arial"/>
                <w:sz w:val="18"/>
                <w:szCs w:val="18"/>
                <w:b w:val="1"/>
                <w:bCs w:val="1"/>
                <w:color w:val="0000FF"/>
              </w:rPr>
              <w:t>Part II – Other Information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040" w:type="dxa"/>
            <w:vAlign w:val="bottom"/>
            <w:gridSpan w:val="12"/>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040" w:type="dxa"/>
            <w:vAlign w:val="bottom"/>
            <w:gridSpan w:val="12"/>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4860" w:type="dxa"/>
            <w:vAlign w:val="bottom"/>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680" w:type="dxa"/>
            <w:vAlign w:val="bottom"/>
            <w:gridSpan w:val="3"/>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2560" w:type="dxa"/>
            <w:vAlign w:val="bottom"/>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6"/>
          </w:tcPr>
          <w:p>
            <w:pPr>
              <w:spacing w:after="0"/>
              <w:rPr>
                <w:sz w:val="22"/>
                <w:szCs w:val="22"/>
                <w:color w:val="auto"/>
              </w:rPr>
            </w:pPr>
          </w:p>
        </w:tc>
        <w:tc>
          <w:tcPr>
            <w:tcW w:w="3680" w:type="dxa"/>
            <w:vAlign w:val="bottom"/>
            <w:gridSpan w:val="3"/>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22"/>
                <w:szCs w:val="22"/>
                <w:color w:val="auto"/>
              </w:rPr>
            </w:pPr>
          </w:p>
        </w:tc>
        <w:tc>
          <w:tcPr>
            <w:tcW w:w="5980" w:type="dxa"/>
            <w:vAlign w:val="bottom"/>
            <w:gridSpan w:val="9"/>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94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6600" w:type="dxa"/>
            <w:vAlign w:val="bottom"/>
            <w:gridSpan w:val="11"/>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22"/>
                <w:szCs w:val="22"/>
                <w:color w:val="auto"/>
              </w:rPr>
            </w:pPr>
          </w:p>
        </w:tc>
        <w:tc>
          <w:tcPr>
            <w:tcW w:w="7140" w:type="dxa"/>
            <w:vAlign w:val="bottom"/>
            <w:gridSpan w:val="13"/>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0000FF"/>
              </w:rPr>
              <w:t>Signature</w:t>
            </w: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80" w:type="dxa"/>
            <w:vAlign w:val="bottom"/>
            <w:gridSpan w:val="3"/>
            <w:vMerge w:val="continue"/>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0"/>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PART I - FINANCIAL INFORMATION</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1400" w:type="dxa"/>
            <w:vAlign w:val="bottom"/>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HURON CONSULTING GROUP INC.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$16,808 and $10,600, respectively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147,852</w:t>
            </w: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$3,283 and $3,850, respectively</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141,781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w:t>
            </w:r>
          </w:p>
        </w:tc>
        <w:tc>
          <w:tcPr>
            <w:tcW w:w="0" w:type="dxa"/>
            <w:vAlign w:val="bottom"/>
          </w:tcPr>
          <w:p>
            <w:pPr>
              <w:spacing w:after="0"/>
              <w:rPr>
                <w:sz w:val="1"/>
                <w:szCs w:val="1"/>
                <w:color w:val="auto"/>
              </w:rPr>
            </w:pPr>
          </w:p>
        </w:tc>
      </w:tr>
      <w:tr>
        <w:trPr>
          <w:trHeight w:val="230"/>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328,484</w:t>
            </w: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30,304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0" w:type="dxa"/>
            <w:vAlign w:val="bottom"/>
          </w:tcPr>
          <w:p>
            <w:pPr>
              <w:spacing w:after="0"/>
              <w:rPr>
                <w:sz w:val="1"/>
                <w:szCs w:val="1"/>
                <w:color w:val="auto"/>
              </w:rPr>
            </w:pPr>
          </w:p>
        </w:tc>
      </w:tr>
      <w:tr>
        <w:trPr>
          <w:trHeight w:val="23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23,392</w:t>
            </w: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624,966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624,966</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1,257,325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1,199,040</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0" w:type="dxa"/>
            <w:vAlign w:val="bottom"/>
          </w:tcPr>
          <w:p>
            <w:pPr>
              <w:spacing w:after="0"/>
              <w:rPr>
                <w:sz w:val="1"/>
                <w:szCs w:val="1"/>
                <w:color w:val="auto"/>
              </w:rPr>
            </w:pPr>
          </w:p>
        </w:tc>
      </w:tr>
      <w:tr>
        <w:trPr>
          <w:trHeight w:val="236"/>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171,723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245,684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33,614</w:t>
            </w: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45,556</w:t>
            </w: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32,146</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non-current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401,316</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21,863,932 and 22,507,159 shares</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Treasury stock, at cost, 2,840,319 and 2,711,712 shares, respectively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(137,556)</w:t>
            </w:r>
          </w:p>
        </w:tc>
        <w:tc>
          <w:tcPr>
            <w:tcW w:w="0" w:type="dxa"/>
            <w:vAlign w:val="bottom"/>
          </w:tcPr>
          <w:p>
            <w:pPr>
              <w:spacing w:after="0"/>
              <w:rPr>
                <w:sz w:val="1"/>
                <w:szCs w:val="1"/>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318,706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352,548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552,040</w:t>
            </w:r>
          </w:p>
        </w:tc>
        <w:tc>
          <w:tcPr>
            <w:tcW w:w="0" w:type="dxa"/>
            <w:vAlign w:val="bottom"/>
          </w:tcPr>
          <w:p>
            <w:pPr>
              <w:spacing w:after="0"/>
              <w:rPr>
                <w:sz w:val="1"/>
                <w:szCs w:val="1"/>
                <w:color w:val="auto"/>
              </w:rPr>
            </w:pPr>
          </w:p>
        </w:tc>
      </w:tr>
      <w:tr>
        <w:trPr>
          <w:trHeight w:val="25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1,199,040</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395"/>
              <w:spacing w:after="0"/>
              <w:rPr>
                <w:sz w:val="20"/>
                <w:szCs w:val="20"/>
                <w:color w:val="auto"/>
              </w:rPr>
            </w:pPr>
            <w:r>
              <w:rPr>
                <w:rFonts w:ascii="Arial" w:cs="Arial" w:eastAsia="Arial" w:hAnsi="Arial"/>
                <w:sz w:val="17"/>
                <w:szCs w:val="17"/>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5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346,759</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273,325</w:t>
            </w:r>
          </w:p>
        </w:tc>
        <w:tc>
          <w:tcPr>
            <w:tcW w:w="44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664,654</w:t>
            </w:r>
          </w:p>
        </w:tc>
        <w:tc>
          <w:tcPr>
            <w:tcW w:w="52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533,374</w:t>
            </w:r>
          </w:p>
        </w:tc>
        <w:tc>
          <w:tcPr>
            <w:tcW w:w="0" w:type="dxa"/>
            <w:vAlign w:val="bottom"/>
          </w:tcPr>
          <w:p>
            <w:pPr>
              <w:spacing w:after="0"/>
              <w:rPr>
                <w:sz w:val="1"/>
                <w:szCs w:val="1"/>
                <w:color w:val="auto"/>
              </w:rPr>
            </w:pPr>
          </w:p>
        </w:tc>
      </w:tr>
      <w:tr>
        <w:trPr>
          <w:trHeight w:val="22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12,218</w:t>
            </w:r>
          </w:p>
        </w:tc>
        <w:tc>
          <w:tcPr>
            <w:tcW w:w="0" w:type="dxa"/>
            <w:vAlign w:val="bottom"/>
          </w:tcPr>
          <w:p>
            <w:pPr>
              <w:spacing w:after="0"/>
              <w:rPr>
                <w:sz w:val="1"/>
                <w:szCs w:val="1"/>
                <w:color w:val="auto"/>
              </w:rPr>
            </w:pPr>
          </w:p>
        </w:tc>
      </w:tr>
      <w:tr>
        <w:trPr>
          <w:trHeight w:val="217"/>
        </w:trPr>
        <w:tc>
          <w:tcPr>
            <w:tcW w:w="5480" w:type="dxa"/>
            <w:vAlign w:val="bottom"/>
          </w:tcPr>
          <w:p>
            <w:pPr>
              <w:ind w:left="340"/>
              <w:spacing w:after="0"/>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354,899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280,817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681,284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545,592</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235,198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189,233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463,581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376,480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126,308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94,428</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13,766</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315,180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623,134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500,630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58,150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44,962</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2,781</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19,484</w:t>
            </w:r>
          </w:p>
        </w:tc>
        <w:tc>
          <w:tcPr>
            <w:tcW w:w="0" w:type="dxa"/>
            <w:vAlign w:val="bottom"/>
          </w:tcPr>
          <w:p>
            <w:pPr>
              <w:spacing w:after="0"/>
              <w:rPr>
                <w:sz w:val="1"/>
                <w:szCs w:val="1"/>
                <w:color w:val="auto"/>
              </w:rPr>
            </w:pPr>
          </w:p>
        </w:tc>
      </w:tr>
      <w:tr>
        <w:trPr>
          <w:trHeight w:val="210"/>
        </w:trPr>
        <w:tc>
          <w:tcPr>
            <w:tcW w:w="5480" w:type="dxa"/>
            <w:vAlign w:val="bottom"/>
          </w:tcPr>
          <w:p>
            <w:pPr>
              <w:ind w:left="34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59,804</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24,712</w:t>
            </w:r>
          </w:p>
        </w:tc>
        <w:tc>
          <w:tcPr>
            <w:tcW w:w="4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13,875</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38,131</w:t>
            </w:r>
          </w:p>
        </w:tc>
        <w:tc>
          <w:tcPr>
            <w:tcW w:w="52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basic share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4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52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Net income per diluted share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1.27</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0.66</w:t>
            </w:r>
          </w:p>
        </w:tc>
        <w:tc>
          <w:tcPr>
            <w:tcW w:w="44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1.95</w:t>
            </w:r>
          </w:p>
        </w:tc>
        <w:tc>
          <w:tcPr>
            <w:tcW w:w="52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19,029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20,715</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21,047</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24,712</w:t>
            </w:r>
          </w:p>
        </w:tc>
        <w:tc>
          <w:tcPr>
            <w:tcW w:w="4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13,875</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38,131</w:t>
            </w:r>
          </w:p>
        </w:tc>
        <w:tc>
          <w:tcPr>
            <w:tcW w:w="52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Unrealized gain on cash flow hedging instruments,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43,070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3"/>
          </w:tcPr>
          <w:p>
            <w:pPr>
              <w:jc w:val="center"/>
              <w:spacing w:after="0" w:line="10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21,910,425</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(2,970,118)</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(141,353)</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284,420</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365,967</w:t>
            </w: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19,715</w:t>
            </w: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528,969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24,712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4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Restricted stock awards, net of</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340" w:type="dxa"/>
            <w:vAlign w:val="bottom"/>
            <w:gridSpan w:val="2"/>
          </w:tcPr>
          <w:p>
            <w:pPr>
              <w:ind w:left="340"/>
              <w:spacing w:after="0"/>
              <w:rPr>
                <w:sz w:val="20"/>
                <w:szCs w:val="20"/>
                <w:color w:val="auto"/>
              </w:rPr>
            </w:pPr>
            <w:r>
              <w:rPr>
                <w:rFonts w:ascii="Arial" w:cs="Arial" w:eastAsia="Arial" w:hAnsi="Arial"/>
                <w:sz w:val="14"/>
                <w:szCs w:val="14"/>
                <w:color w:val="auto"/>
              </w:rPr>
              <w:t>cancellations</w:t>
            </w:r>
          </w:p>
        </w:tc>
        <w:tc>
          <w:tcPr>
            <w:tcW w:w="900" w:type="dxa"/>
            <w:vAlign w:val="bottom"/>
          </w:tcPr>
          <w:p>
            <w:pPr>
              <w:jc w:val="right"/>
              <w:spacing w:after="0"/>
              <w:rPr>
                <w:sz w:val="20"/>
                <w:szCs w:val="20"/>
                <w:color w:val="auto"/>
              </w:rPr>
            </w:pPr>
            <w:r>
              <w:rPr>
                <w:rFonts w:ascii="Arial" w:cs="Arial" w:eastAsia="Arial" w:hAnsi="Arial"/>
                <w:sz w:val="14"/>
                <w:szCs w:val="14"/>
                <w:color w:val="auto"/>
              </w:rPr>
              <w:t>8,683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3,386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(193,648)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21,732,924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(2,969,196)</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(141,407)</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279,070</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390,679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23,058</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23,639,953</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(2,918,100)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(135,367)</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395,103</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303,848</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18,461</w:t>
            </w: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582,282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3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4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Restricted stock awards, net of</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340" w:type="dxa"/>
            <w:vAlign w:val="bottom"/>
            <w:gridSpan w:val="2"/>
          </w:tcPr>
          <w:p>
            <w:pPr>
              <w:ind w:left="340"/>
              <w:spacing w:after="0"/>
              <w:rPr>
                <w:sz w:val="20"/>
                <w:szCs w:val="20"/>
                <w:color w:val="auto"/>
              </w:rPr>
            </w:pPr>
            <w:r>
              <w:rPr>
                <w:rFonts w:ascii="Arial" w:cs="Arial" w:eastAsia="Arial" w:hAnsi="Arial"/>
                <w:sz w:val="14"/>
                <w:szCs w:val="14"/>
                <w:color w:val="auto"/>
              </w:rPr>
              <w:t>cancellations</w:t>
            </w:r>
          </w:p>
        </w:tc>
        <w:tc>
          <w:tcPr>
            <w:tcW w:w="900" w:type="dxa"/>
            <w:vAlign w:val="bottom"/>
          </w:tcPr>
          <w:p>
            <w:pPr>
              <w:jc w:val="right"/>
              <w:spacing w:after="0"/>
              <w:rPr>
                <w:sz w:val="20"/>
                <w:szCs w:val="20"/>
                <w:color w:val="auto"/>
              </w:rPr>
            </w:pPr>
            <w:r>
              <w:rPr>
                <w:rFonts w:ascii="Arial" w:cs="Arial" w:eastAsia="Arial" w:hAnsi="Arial"/>
                <w:sz w:val="14"/>
                <w:szCs w:val="14"/>
                <w:color w:val="auto"/>
              </w:rPr>
              <w:t>27,309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(15,115)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23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(497,547)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23,183,446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(2,935,799)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(136,425)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374,280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575,359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6"/>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6"/>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22,231,593</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(2,953,147)</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(137,556)</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318,706</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352,548</w:t>
            </w: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18,119</w:t>
            </w: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38,131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43,070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4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Restricted stock awards, net of</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340" w:type="dxa"/>
            <w:vAlign w:val="bottom"/>
            <w:gridSpan w:val="2"/>
          </w:tcPr>
          <w:p>
            <w:pPr>
              <w:ind w:left="320"/>
              <w:spacing w:after="0"/>
              <w:rPr>
                <w:sz w:val="20"/>
                <w:szCs w:val="20"/>
                <w:color w:val="auto"/>
              </w:rPr>
            </w:pPr>
            <w:r>
              <w:rPr>
                <w:rFonts w:ascii="Arial" w:cs="Arial" w:eastAsia="Arial" w:hAnsi="Arial"/>
                <w:sz w:val="14"/>
                <w:szCs w:val="14"/>
                <w:color w:val="auto"/>
              </w:rPr>
              <w:t>cancellations</w:t>
            </w:r>
          </w:p>
        </w:tc>
        <w:tc>
          <w:tcPr>
            <w:tcW w:w="900" w:type="dxa"/>
            <w:vAlign w:val="bottom"/>
          </w:tcPr>
          <w:p>
            <w:pPr>
              <w:jc w:val="right"/>
              <w:spacing w:after="0"/>
              <w:rPr>
                <w:sz w:val="20"/>
                <w:szCs w:val="20"/>
                <w:color w:val="auto"/>
              </w:rPr>
            </w:pPr>
            <w:r>
              <w:rPr>
                <w:rFonts w:ascii="Arial" w:cs="Arial" w:eastAsia="Arial" w:hAnsi="Arial"/>
                <w:sz w:val="14"/>
                <w:szCs w:val="14"/>
                <w:color w:val="auto"/>
              </w:rPr>
              <w:t>306,264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121,835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24,895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(137,884)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(826,542)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(59,638)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21,732,924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(2,969,196)</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(141,407)</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279,070</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390,679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23,058</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23,868,918</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(135,969)</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413,794</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276,996</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16,840</w:t>
            </w: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40,727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4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Restricted stock awards, net of</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340" w:type="dxa"/>
            <w:vAlign w:val="bottom"/>
            <w:gridSpan w:val="2"/>
          </w:tcPr>
          <w:p>
            <w:pPr>
              <w:ind w:left="320"/>
              <w:spacing w:after="0"/>
              <w:rPr>
                <w:sz w:val="20"/>
                <w:szCs w:val="20"/>
                <w:color w:val="auto"/>
              </w:rPr>
            </w:pPr>
            <w:r>
              <w:rPr>
                <w:rFonts w:ascii="Arial" w:cs="Arial" w:eastAsia="Arial" w:hAnsi="Arial"/>
                <w:sz w:val="14"/>
                <w:szCs w:val="14"/>
                <w:color w:val="auto"/>
              </w:rPr>
              <w:t>cancellations</w:t>
            </w:r>
          </w:p>
        </w:tc>
        <w:tc>
          <w:tcPr>
            <w:tcW w:w="900" w:type="dxa"/>
            <w:vAlign w:val="bottom"/>
          </w:tcPr>
          <w:p>
            <w:pPr>
              <w:jc w:val="right"/>
              <w:spacing w:after="0"/>
              <w:rPr>
                <w:sz w:val="20"/>
                <w:szCs w:val="20"/>
                <w:color w:val="auto"/>
              </w:rPr>
            </w:pPr>
            <w:r>
              <w:rPr>
                <w:rFonts w:ascii="Arial" w:cs="Arial" w:eastAsia="Arial" w:hAnsi="Arial"/>
                <w:sz w:val="14"/>
                <w:szCs w:val="14"/>
                <w:color w:val="auto"/>
              </w:rPr>
              <w:t>304,938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115,125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6,555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38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(142,075)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(1,020,946)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23,183,446</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(2,935,799)</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(136,425)</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374,280</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317,723</w:t>
            </w:r>
          </w:p>
        </w:tc>
        <w:tc>
          <w:tcPr>
            <w:tcW w:w="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19,549</w:t>
            </w:r>
          </w:p>
        </w:tc>
        <w:tc>
          <w:tcPr>
            <w:tcW w:w="20" w:type="dxa"/>
            <w:vAlign w:val="bottom"/>
          </w:tcPr>
          <w:p>
            <w:pPr>
              <w:spacing w:after="0"/>
              <w:rPr>
                <w:sz w:val="16"/>
                <w:szCs w:val="16"/>
                <w:color w:val="auto"/>
              </w:rPr>
            </w:pPr>
          </w:p>
        </w:tc>
        <w:tc>
          <w:tcPr>
            <w:tcW w:w="320" w:type="dxa"/>
            <w:vAlign w:val="bottom"/>
            <w:gridSpan w:val="3"/>
          </w:tcPr>
          <w:p>
            <w:pPr>
              <w:jc w:val="right"/>
              <w:ind w:right="75"/>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575,359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jc w:val="center"/>
        <w:ind w:left="822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38,131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40,727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13,766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Lease-related impairment charge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sale of property and equipment, excluding transaction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(28,825)</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(50,236)</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businesses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4,750</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Divestiture of business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0"/>
        </w:trPr>
        <w:tc>
          <w:tcPr>
            <w:tcW w:w="824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(114,780)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payments on business acquisition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49,076</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Property and equipment expenditures and capitalized software included in current liabilities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4,437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Contingent consideration related to purchase of business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Excise tax on net share repurchases included in 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8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and products and manage our business through three operating segments: Healthcare, Education and Commercial.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13 “Segment Information”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six months ended June 30, 2023 and 2022.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2022 and our Quarterly Report on Form 10-Q for the period ended March 31, 2023. Our results for any interim period are not necessarily indicative of results for a full year or any other interim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Education</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370"/>
              <w:spacing w:after="0"/>
              <w:rPr>
                <w:sz w:val="20"/>
                <w:szCs w:val="20"/>
                <w:color w:val="auto"/>
              </w:rPr>
            </w:pPr>
            <w:r>
              <w:rPr>
                <w:rFonts w:ascii="Arial" w:cs="Arial" w:eastAsia="Arial" w:hAnsi="Arial"/>
                <w:sz w:val="18"/>
                <w:szCs w:val="18"/>
                <w:color w:val="auto"/>
                <w:w w:val="98"/>
              </w:rPr>
              <w:t>644,238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312,968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1,080,858</w:t>
            </w:r>
          </w:p>
        </w:tc>
      </w:tr>
      <w:tr>
        <w:trPr>
          <w:trHeight w:val="23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rPr>
              <w:t>(190,024)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8"/>
              </w:rPr>
              <w:t>454,214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624,966</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June 30,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8"/>
              </w:rPr>
              <w:t>454,214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624,966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2023 and December 31, 2022 consisted of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June 30, 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2022</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9"/>
              </w:rPr>
              <w:t>Useful Life</w:t>
            </w:r>
          </w:p>
        </w:tc>
        <w:tc>
          <w:tcPr>
            <w:tcW w:w="220" w:type="dxa"/>
            <w:vAlign w:val="bottom"/>
          </w:tcPr>
          <w:p>
            <w:pPr>
              <w:spacing w:after="0"/>
              <w:rPr>
                <w:sz w:val="14"/>
                <w:szCs w:val="14"/>
                <w:color w:val="auto"/>
              </w:rPr>
            </w:pPr>
          </w:p>
        </w:tc>
        <w:tc>
          <w:tcPr>
            <w:tcW w:w="120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0"/>
              <w:spacing w:after="0" w:line="180"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0"/>
              <w:spacing w:after="0" w:line="180"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to 13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2 to 5</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Non-competition agreements</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2 to 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as well as certain trade names and technology and software, are amortized on an accelerated basis to correspond to the cash flows expected to be derived from the assets. All other intangible assets with finite lives are amortized on a straight-line basis.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Intangible asset amortization expense was $2.0 million and $2.8 million for the three months ended June 30, 2023 and 2022, respectively; and $4.2 million and $5.7 million for the six months ended June 30, 2023 and 2022, respectively. The table below sets forth the estimated annual amortization expense for the intangible assets recorded as of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vMerge w:val="restart"/>
          </w:tcPr>
          <w:p>
            <w:pPr>
              <w:jc w:val="right"/>
              <w:ind w:right="313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1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36"/>
        </w:trPr>
        <w:tc>
          <w:tcPr>
            <w:tcW w:w="8720" w:type="dxa"/>
            <w:vAlign w:val="bottom"/>
            <w:shd w:val="clear" w:color="auto" w:fill="CCEEFF"/>
          </w:tcPr>
          <w:p>
            <w:pPr>
              <w:jc w:val="right"/>
              <w:ind w:right="8210"/>
              <w:spacing w:after="0"/>
              <w:rPr>
                <w:sz w:val="20"/>
                <w:szCs w:val="20"/>
                <w:color w:val="auto"/>
              </w:rPr>
            </w:pPr>
            <w:r>
              <w:rPr>
                <w:rFonts w:ascii="Arial" w:cs="Arial" w:eastAsia="Arial" w:hAnsi="Arial"/>
                <w:sz w:val="18"/>
                <w:szCs w:val="18"/>
                <w:color w:val="auto"/>
                <w:w w:val="99"/>
              </w:rPr>
              <w:t>2023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30"/>
        </w:trPr>
        <w:tc>
          <w:tcPr>
            <w:tcW w:w="8720" w:type="dxa"/>
            <w:vAlign w:val="bottom"/>
          </w:tcPr>
          <w:p>
            <w:pPr>
              <w:jc w:val="right"/>
              <w:ind w:right="8210"/>
              <w:spacing w:after="0"/>
              <w:rPr>
                <w:sz w:val="20"/>
                <w:szCs w:val="20"/>
                <w:color w:val="auto"/>
              </w:rPr>
            </w:pPr>
            <w:r>
              <w:rPr>
                <w:rFonts w:ascii="Arial" w:cs="Arial" w:eastAsia="Arial" w:hAnsi="Arial"/>
                <w:sz w:val="18"/>
                <w:szCs w:val="18"/>
                <w:color w:val="auto"/>
                <w:w w:val="99"/>
              </w:rPr>
              <w:t>2024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jc w:val="right"/>
              <w:ind w:right="8210"/>
              <w:spacing w:after="0"/>
              <w:rPr>
                <w:sz w:val="20"/>
                <w:szCs w:val="20"/>
                <w:color w:val="auto"/>
              </w:rPr>
            </w:pPr>
            <w:r>
              <w:rPr>
                <w:rFonts w:ascii="Arial" w:cs="Arial" w:eastAsia="Arial" w:hAnsi="Arial"/>
                <w:sz w:val="18"/>
                <w:szCs w:val="18"/>
                <w:color w:val="auto"/>
                <w:w w:val="99"/>
              </w:rPr>
              <w:t>2025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6"/>
        </w:trPr>
        <w:tc>
          <w:tcPr>
            <w:tcW w:w="8720" w:type="dxa"/>
            <w:vAlign w:val="bottom"/>
          </w:tcPr>
          <w:p>
            <w:pPr>
              <w:jc w:val="right"/>
              <w:ind w:right="8210"/>
              <w:spacing w:after="0"/>
              <w:rPr>
                <w:sz w:val="20"/>
                <w:szCs w:val="20"/>
                <w:color w:val="auto"/>
              </w:rPr>
            </w:pPr>
            <w:r>
              <w:rPr>
                <w:rFonts w:ascii="Arial" w:cs="Arial" w:eastAsia="Arial" w:hAnsi="Arial"/>
                <w:sz w:val="18"/>
                <w:szCs w:val="18"/>
                <w:color w:val="auto"/>
                <w:w w:val="99"/>
              </w:rPr>
              <w:t>2026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36"/>
        </w:trPr>
        <w:tc>
          <w:tcPr>
            <w:tcW w:w="8720" w:type="dxa"/>
            <w:vAlign w:val="bottom"/>
            <w:shd w:val="clear" w:color="auto" w:fill="CCEEFF"/>
          </w:tcPr>
          <w:p>
            <w:pPr>
              <w:jc w:val="right"/>
              <w:ind w:right="8210"/>
              <w:spacing w:after="0"/>
              <w:rPr>
                <w:sz w:val="20"/>
                <w:szCs w:val="20"/>
                <w:color w:val="auto"/>
              </w:rPr>
            </w:pPr>
            <w:r>
              <w:rPr>
                <w:rFonts w:ascii="Arial" w:cs="Arial" w:eastAsia="Arial" w:hAnsi="Arial"/>
                <w:sz w:val="18"/>
                <w:szCs w:val="18"/>
                <w:color w:val="auto"/>
                <w:w w:val="99"/>
              </w:rPr>
              <w:t>2027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the three months ended June 30, 2023 and 2022, we recognized revenues of $346.8 million and $273.3 million, respectively. Of the $346.8 million recognized in the second quarter of 2023, we recognized revenues of $14.8 million from obligations satisfied, or partially satisfied, in prior periods, of which $12.6 million was due to changes in the estimates of our variable consideration under performance-based billing arrangements and $2.2 million was due to the release of allowances on receivables from clients and unbilled services. Of the $273.3 million recognized in the second quarter of 2022, we recognized revenues of $5.1 million from obligations satisfied, or partially satisfied, in prior periods, of which $3.7 million was primarily due to changes in the estimates of our variable consideration under performance-based billing arrangements, and $1.4 million was primarily due to the release of allowances on receivables from clients and unbilled services.</w:t>
      </w:r>
    </w:p>
    <w:p>
      <w:pPr>
        <w:spacing w:after="0" w:line="1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For the six months ended June 30, 2023 and 2022, we recognized revenues of $664.7 million and $533.4 million, respectively. Of the $664.7 million recognized in the first six months of 2023, we recognized revenues of $ 6.3 million from obligations satisfied, or partially satisfied, in prior periods, of which $5.0 million was due to changes in the estimates of our variable consideration under performance-based billing arrangements, and $1.3 million was primarily due to the release of allowances on receivables from clients and unbilled services. Of the $533.4 million recognized in the first six months of 2022, we recognized revenues of $3.4 million from obligations satisfied, or partially satisfied, in prior periods, of which $2.1 million was due to changes in the estimates of our variable consideration under performance-based billing arrangements, and $1.3 million was primarily due to the release of allowances on receivables from clients and unbilled services.</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June 30, 2023, we had $240.0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$240.0 million of performance obligations, we expect to recognize $54.1 million as revenue in 2023, $66.3 million in 2024, and the remaining $119.6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2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June 30, 2023 and December 31, 2022 was $43.7 million and $50.2 million, respectively. The $6.5 million decrease primarily reflects timing differences between the completion of our performance obligations and the amounts billed or billable to clients in accordance with their contractual billing terms.</w:t>
      </w:r>
    </w:p>
    <w:p>
      <w:pPr>
        <w:spacing w:after="0" w:line="13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accounting policy. Our deferred revenues balance as of June 30, 2023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December 31, 2022, was $24.7 million and $21.9 million, respectively. The $2.8 million increase primarily reflects timing differences between client payments in accordance with their contract terms and the completion of our performance obligations. For the three and six months ended June 30, 2023, $3.9 million and $20.3 million of revenues recognized were included in the deferred revenue balance as of December 31,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40,727</w:t>
            </w:r>
          </w:p>
        </w:tc>
      </w:t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14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for the three and six months ended June 30, 2023 and 2022 were both less than 0.1 million shares, and related to unvested restricted stock and outstanding common stock options.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2023, we repurchased and retired 193,648 and 826,542 shares for $15.4 million and</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$59.6 million, respectively. Additionally, in the first quarter of 2023, we settled the repurchase of 15,200 shares for $1.1 million which were accrued as of December 31, 2022. In the three and six months ended June 30, 2022, we repurchased and retired 497,547 and 1,020,946 shares for $ 28.3 million and $52.2 million, respectively. Additionally in the first quarter of 2022, we settled the repurchase of 3,820 shares for $0.2 million that were accrued as of December 31, 2021. As of June 30, 2023, $49.6 million remained available for share repurchases under our share repurchase program.</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Arrangements</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 $600 million five-year senior secured revolving credit facility, subject to the terms of a Third Amended and Restated Credit Agreement dated as of November 15, 2022 (as amended,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2023, the Company and PNC Capital Markets, LLC, as Sustainability Structuring Agent, with the consent of the Required Lenders (as defined in the Amended Credit Agreement), entered into the first amendment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80" w:firstLine="8"/>
        <w:spacing w:after="0" w:line="251" w:lineRule="auto"/>
        <w:tabs>
          <w:tab w:leader="none" w:pos="21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2023, we were in compliance with these financial covenants with a Consolidated Leverage Ratio of 2.17 to 1.00 and a Consolidated Interest Coverage Ratio of 11.23 to 1.00.</w:t>
      </w:r>
    </w:p>
    <w:p>
      <w:pPr>
        <w:spacing w:after="0" w:line="14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Borrowings outstanding under the Amended Credit Agreement at June 30, 2023 totaled $395.0 million and are classified as long-term debt in our consolidated balance sheet. These borrowings carried a weighted average interest rate of 4.6%, including the effect of the interest rate swaps described in Note 8 “Derivative Instruments and Hedging Activity.” Borrowings outstanding under the Amended Credit Agreement at December 31, 2022 were $290.0 million and carried a weighted average interest rate of 3.8%, including the effect of the interest rate swaps in effect at that time. The borrowing capacity under the revolving credit facility is reduced by any outstanding borrowings under the revolving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credit facility and outstanding letters of credit. At June 30, 2023, we had outstanding letters of credit totaling $0.7 million, which are used as security deposits for our office facilities. As of June 30, 2023, the unused borrowing capacity under the revolving credit facility was $204.3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Restructuring charges for the three and six months ended June 30, 2023 were $1.7 million and $4.0 million, respectively. The $1.7 million of restructuring charges recognized in the second quarter of 2023 included $0.9 million of employee-related expenses; $0.3 million related to the abandonment of a capitalized software development project; $0.2 million of rent and related expenses, net of sublease income, for previously vacated office spaces; and $0.2 million related to non-cash lease impairment charges driven by updated sublease assumptions for previously vacated office spaces. The $4.0 million of restructuring charges incurred in the first six months of 2023 included a $1.9 million non-cash impairment charge on the fixed assets and right-of-use operating lease asset related to our office space in Hillsboro, Oregon, which we exited in the first quarter of 2023; $0.9 million of employee-related expenses; $0.6 million for rent and related expenses, net of sublease income, for previously vacated office spaces; $0.3 million related to the abandonment of a capitalized software development project; and $0.2 million related to non-cash lease impairment charges driven by updated sublease assumptions for previously vacated office spaces.</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Restructuring charges for the three and six months ended June 30, 2022 were $2.1 million and $3.6 million. The $2.1 million of restructuring charges recognized in the second quarter of 2022 included $1.1 million of employee-related expenses; $0.4 million of rent and related expenses, net of sublease income, for previously vacated office spaces; $0.5 million for third-party transaction expenses related to the modification of our operating model; and $0.1 million related to the divestiture of our Life Sciences business in the fourth quarter of 2021. The $3.6 million of restructuring charges incurred in the first six months of 2022 included $1.6 million of employee-related expenses; $ 1.0 million of rent and related expenses, net of sublease income, for previously vacated office spaces; $ 0.6 million for third-party transaction expenses related to the modification of our operating model; $0.3 million of accelerated amortization of capitalized software implementation costs for a cloud-computing arrangement that is no longer in use; and $0.1 million related to the divestiture of our Life Sciences business in the fourth quarter of 2021.</w:t>
      </w:r>
    </w:p>
    <w:p>
      <w:pPr>
        <w:spacing w:after="0" w:line="14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Employee Costs</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3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34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r>
      <w:tr>
        <w:trPr>
          <w:trHeight w:val="243"/>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34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All of the $1.2 million restructuring charge liability related to employee costs at June 30, 2023 is expected to be paid in the next 12 months and is included as a component of accrued payroll and related benefits in our consolidated balance sheet. All of the $ 0.5 million other restructuring charge liability at June 30, 2023, which relates to the early termination of a contract in 2022, is expected to be paid in the next 12 months and is included as a component of accrued expenses and other current liabilities in our consolidated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Activity</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designated all of our derivative instruments as cash flow hedges. Therefore, changes in the fair value of the interest rate swaps and foreign exchange forward contracts are recorded to other comprehensive income (“OCI”) to the extent effective and reclassified to earnings upon settlement.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8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We are party to forward interest rate swap agreements with aggregate notional amounts of $250.0 million and $200.0 million as of June 30, 2023 and December 31, 2022,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29, 2028.</w:t>
      </w:r>
    </w:p>
    <w:p>
      <w:pPr>
        <w:spacing w:after="0" w:line="13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30, 2023, it was anticipated that $6.2 million of the gains, net of tax, related to interest rate swaps currently recorded in accumulated other comprehensive income will be reclassified into interest expense, net of interest income in our consolidated statement of operations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18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party to non-deliverable foreign exchange forward contracts that are scheduled to mature monthly through April 30, 2024. As of June 30, 2023 and December 31, 2022, the aggregate notional amounts of these contracts were INR 625.1 million, or $7.6 million, and INR 657.9 million, or $8.0 million, respectively, based on the exchange rates in effect as of each period end.</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June 30, 2023, it was anticipated that all of the $0.1 million of gains, net of tax, related to foreign exchange forward contracts currently recorded in accumulated other comprehensive income will be reclassified into direct costs in our consolidated statement of operations within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additional information relating to our derivative instruments as of June 30, 2023 and December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vMerge w:val="continue"/>
          </w:tcPr>
          <w:p>
            <w:pPr>
              <w:spacing w:after="0"/>
              <w:rPr>
                <w:sz w:val="21"/>
                <w:szCs w:val="21"/>
                <w:color w:val="auto"/>
              </w:rPr>
            </w:pPr>
          </w:p>
        </w:tc>
        <w:tc>
          <w:tcPr>
            <w:tcW w:w="4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476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tcBorders>
            <w:shd w:val="clear" w:color="auto" w:fill="CCEEFF"/>
          </w:tcPr>
          <w:p>
            <w:pPr>
              <w:spacing w:after="0"/>
              <w:rPr>
                <w:sz w:val="21"/>
                <w:szCs w:val="21"/>
                <w:color w:val="auto"/>
              </w:rPr>
            </w:pPr>
          </w:p>
        </w:tc>
        <w:tc>
          <w:tcPr>
            <w:tcW w:w="47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760" w:type="dxa"/>
            <w:vAlign w:val="bottom"/>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10 “Other Comprehensive Income (Loss)” for additional information on our derivative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6" w:right="339" w:bottom="1440" w:gutter="0" w:footer="0" w:header="0"/>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2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2" w:lineRule="exact"/>
        <w:rPr>
          <w:sz w:val="20"/>
          <w:szCs w:val="20"/>
          <w:color w:val="auto"/>
        </w:rPr>
      </w:pPr>
    </w:p>
    <w:p>
      <w:pPr>
        <w:sectPr>
          <w:pgSz w:w="11900" w:h="16838" w:orient="portrait"/>
          <w:cols w:equalWidth="0" w:num="2">
            <w:col w:w="1840" w:space="720"/>
            <w:col w:w="8680"/>
          </w:cols>
          <w:pgMar w:left="320" w:top="126" w:right="339" w:bottom="1440" w:gutter="0" w:footer="0" w:header="0"/>
          <w:type w:val="continuous"/>
        </w:sectPr>
      </w:pPr>
    </w:p>
    <w:p>
      <w:pPr>
        <w:ind w:left="20"/>
        <w:spacing w:after="0"/>
        <w:tabs>
          <w:tab w:leader="none" w:pos="254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7"/>
          <w:szCs w:val="17"/>
          <w:color w:val="auto"/>
        </w:rPr>
        <w:t>Unobservable inputs for the asset or liability, and include situations in which there is little, if any, market</w:t>
      </w:r>
    </w:p>
    <w:p>
      <w:pPr>
        <w:spacing w:after="0" w:line="3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activity for the asset or liability.</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2023 and December 31, 2022.</w:t>
      </w:r>
    </w:p>
    <w:tbl>
      <w:tblPr>
        <w:tblLayout w:type="fixed"/>
        <w:tblInd w:w="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63,596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32,239</w:t>
            </w: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108,138</w:t>
            </w:r>
          </w:p>
        </w:tc>
      </w:tr>
      <w:tr>
        <w:trPr>
          <w:trHeight w:val="223"/>
        </w:trPr>
        <w:tc>
          <w:tcPr>
            <w:tcW w:w="54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1,957</w:t>
            </w: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12,239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12,239</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57,563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29,875</w:t>
            </w:r>
          </w:p>
        </w:tc>
      </w:tr>
      <w:tr>
        <w:trPr>
          <w:trHeight w:val="223"/>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42,114</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99,677</w:t>
            </w:r>
          </w:p>
        </w:tc>
      </w:tr>
      <w:tr>
        <w:trPr>
          <w:trHeight w:val="223"/>
        </w:trPr>
        <w:tc>
          <w:tcPr>
            <w:tcW w:w="54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3,190</w:t>
            </w:r>
          </w:p>
        </w:tc>
      </w:tr>
      <w:tr>
        <w:trPr>
          <w:trHeight w:val="223"/>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r>
    </w:tbl>
    <w:p>
      <w:pPr>
        <w:spacing w:after="0" w:line="2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8 “Derivative Instruments and Hedging Activity” for additional information on our interest rate swaps.</w:t>
      </w:r>
    </w:p>
    <w:p>
      <w:pPr>
        <w:spacing w:after="0" w:line="12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Foreign exchange forward contracts</w:t>
      </w:r>
      <w:r>
        <w:rPr>
          <w:rFonts w:ascii="Arial" w:cs="Arial" w:eastAsia="Arial" w:hAnsi="Arial"/>
          <w:sz w:val="18"/>
          <w:szCs w:val="18"/>
          <w:color w:val="auto"/>
        </w:rPr>
        <w:t>: 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Refer to Note 8 “Derivative Instruments and Hedging Activity” for additional information on our foreign exchange forward contracts.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spacing w:after="0" w:line="132"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24.0% as of June 30, 2023 and December 31, 2022; and the concluded equity volatility of 40.0% as of June 30, 2023 and December 31, 2022,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in our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3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57,563</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6.1% as of June 30, 2023 and 5.5% as of December 31, 2022.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13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six months ended June 30, 2023.</w:t>
      </w: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Contingent Consideration for</w:t>
            </w:r>
          </w:p>
        </w:tc>
      </w:tr>
      <w:tr>
        <w:trPr>
          <w:trHeight w:val="243"/>
        </w:trPr>
        <w:tc>
          <w:tcPr>
            <w:tcW w:w="8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Payment</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220" w:type="dxa"/>
            <w:vAlign w:val="bottom"/>
            <w:tcBorders>
              <w:bottom w:val="single" w:sz="8" w:color="auto"/>
            </w:tcBorders>
            <w:shd w:val="clear" w:color="auto" w:fill="CCEEFF"/>
          </w:tcPr>
          <w:p>
            <w:pPr>
              <w:spacing w:after="0"/>
              <w:rPr>
                <w:sz w:val="21"/>
                <w:szCs w:val="21"/>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Medically Home Preferred Stock Investment</w:t>
      </w:r>
    </w:p>
    <w:p>
      <w:pPr>
        <w:spacing w:after="0" w:line="17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an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in our consolidated statement of operations.</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first quarter of 2022, we recognized a pre-tax unrealized gain of $27.0 million based on an observable price change of preferred stock issued by Medically Home with similar rights and preferences to our preferred stock investment, a Level 2 input. There were no observable price changes for the remainder of 2022 or in the first half of 2023. Since our initial investment, we have recognized cumulative pre-tax unrealized gains of $28.6 million, which were recorded to other income (expense), net in our consolidated statement of operations, and we have not identified any impairments of our investment. As of June 30, 2023 and December 31, 2022, the carrying amount of our preferred stock investment was $33.6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7"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6 “Financing Arrangements” for additional information on our senior secured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Comprehensive Income (Loss)</w:t>
      </w:r>
    </w:p>
    <w:p>
      <w:pPr>
        <w:spacing w:after="0" w:line="18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six months ended June 30, 2023 and 2022.</w:t>
      </w: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9"/>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9"/>
          </w:tcPr>
          <w:p>
            <w:pPr>
              <w:jc w:val="center"/>
              <w:ind w:right="7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9"/>
              </w:rPr>
              <w:t>June 30, 2023</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Before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Before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200" w:type="dxa"/>
            <w:vAlign w:val="bottom"/>
          </w:tcPr>
          <w:p>
            <w:pPr>
              <w:spacing w:after="0"/>
              <w:rPr>
                <w:sz w:val="14"/>
                <w:szCs w:val="14"/>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Benefit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7" w:lineRule="exact"/>
              <w:rPr>
                <w:sz w:val="20"/>
                <w:szCs w:val="20"/>
                <w:color w:val="auto"/>
              </w:rPr>
            </w:pPr>
            <w:r>
              <w:rPr>
                <w:rFonts w:ascii="Arial" w:cs="Arial" w:eastAsia="Arial" w:hAnsi="Arial"/>
                <w:sz w:val="18"/>
                <w:szCs w:val="18"/>
                <w:color w:val="auto"/>
              </w:rPr>
              <w:t>Net unrealized gain (loss) on foreign exchange forward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gridSpan w:val="2"/>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vMerge w:val="restart"/>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gridSpan w:val="2"/>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80" w:type="dxa"/>
            <w:vAlign w:val="bottom"/>
            <w:tcBorders>
              <w:bottom w:val="single" w:sz="8" w:color="auto"/>
            </w:tcBorders>
            <w:gridSpan w:val="2"/>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8"/>
          </w:tcPr>
          <w:p>
            <w:pPr>
              <w:jc w:val="center"/>
              <w:ind w:left="53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Before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Net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Before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200" w:type="dxa"/>
            <w:vAlign w:val="bottom"/>
          </w:tcPr>
          <w:p>
            <w:pPr>
              <w:spacing w:after="0"/>
              <w:rPr>
                <w:sz w:val="14"/>
                <w:szCs w:val="14"/>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line="180" w:lineRule="exact"/>
              <w:rPr>
                <w:sz w:val="20"/>
                <w:szCs w:val="20"/>
                <w:color w:val="auto"/>
              </w:rPr>
            </w:pPr>
            <w:r>
              <w:rPr>
                <w:rFonts w:ascii="Arial" w:cs="Arial" w:eastAsia="Arial" w:hAnsi="Arial"/>
                <w:sz w:val="18"/>
                <w:szCs w:val="18"/>
                <w:b w:val="1"/>
                <w:bCs w:val="1"/>
                <w:color w:val="auto"/>
                <w:w w:val="99"/>
              </w:rPr>
              <w:t>(Expense)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120"/>
              <w:spacing w:after="0" w:line="180" w:lineRule="exact"/>
              <w:rPr>
                <w:sz w:val="20"/>
                <w:szCs w:val="20"/>
                <w:color w:val="auto"/>
              </w:rPr>
            </w:pPr>
            <w:r>
              <w:rPr>
                <w:rFonts w:ascii="Arial" w:cs="Arial" w:eastAsia="Arial" w:hAnsi="Arial"/>
                <w:sz w:val="18"/>
                <w:szCs w:val="18"/>
                <w:b w:val="1"/>
                <w:bCs w:val="1"/>
                <w:color w:val="auto"/>
                <w:w w:val="99"/>
              </w:rPr>
              <w:t>(Expense)</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6"/>
        </w:trPr>
        <w:tc>
          <w:tcPr>
            <w:tcW w:w="470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6,033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4,426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(2,566)</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6,692</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8"/>
                <w:szCs w:val="18"/>
                <w:color w:val="auto"/>
              </w:rPr>
              <w:t>Net unrealized gain (loss) on foreign exchange forward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40" w:type="dxa"/>
            <w:vAlign w:val="bottom"/>
            <w:gridSpan w:val="2"/>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before tax amounts reclassified from accumulated other comprehensive income related to our interest rate swaps and foreign exchange forward contracts are recorded to interest expense, net of interest income, and direct costs, respectively. Refer to Note 8 “Derivative Instruments and Hedging Activity”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w w:val="99"/>
              </w:rPr>
              <w:t>HURON CONSULTING GROUP INC.</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9"/>
          </w:tcPr>
          <w:p>
            <w:pPr>
              <w:jc w:val="center"/>
              <w:ind w:right="630"/>
              <w:spacing w:after="0"/>
              <w:rPr>
                <w:sz w:val="20"/>
                <w:szCs w:val="20"/>
                <w:color w:val="auto"/>
              </w:rPr>
            </w:pPr>
            <w:r>
              <w:rPr>
                <w:rFonts w:ascii="Arial" w:cs="Arial" w:eastAsia="Arial" w:hAnsi="Arial"/>
                <w:sz w:val="18"/>
                <w:szCs w:val="18"/>
                <w:b w:val="1"/>
                <w:bCs w:val="1"/>
                <w:color w:val="auto"/>
                <w:w w:val="98"/>
              </w:rPr>
              <w:t>NOTES TO CONSOLIDATED FINANCIAL STATEMENTS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9"/>
          </w:tcPr>
          <w:p>
            <w:pPr>
              <w:jc w:val="center"/>
              <w:ind w:right="610"/>
              <w:spacing w:after="0"/>
              <w:rPr>
                <w:sz w:val="20"/>
                <w:szCs w:val="20"/>
                <w:color w:val="auto"/>
              </w:rPr>
            </w:pPr>
            <w:r>
              <w:rPr>
                <w:rFonts w:ascii="Arial" w:cs="Arial" w:eastAsia="Arial" w:hAnsi="Arial"/>
                <w:sz w:val="18"/>
                <w:szCs w:val="18"/>
                <w:b w:val="1"/>
                <w:bCs w:val="1"/>
                <w:color w:val="auto"/>
                <w:w w:val="99"/>
              </w:rPr>
              <w:t>(Tabular amounts in thousands, except per share amounts)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7760" w:type="dxa"/>
            <w:vAlign w:val="bottom"/>
            <w:gridSpan w:val="10"/>
          </w:tcPr>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99"/>
              </w:rPr>
              <w:t>Cash Flow Hedges</w:t>
            </w: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gridSpan w:val="2"/>
          </w:tcPr>
          <w:p>
            <w:pPr>
              <w:ind w:left="40"/>
              <w:spacing w:after="0" w:line="170" w:lineRule="exact"/>
              <w:rPr>
                <w:sz w:val="20"/>
                <w:szCs w:val="20"/>
                <w:color w:val="auto"/>
              </w:rPr>
            </w:pPr>
            <w:r>
              <w:rPr>
                <w:rFonts w:ascii="Arial" w:cs="Arial" w:eastAsia="Arial" w:hAnsi="Arial"/>
                <w:sz w:val="18"/>
                <w:szCs w:val="18"/>
                <w:b w:val="1"/>
                <w:bCs w:val="1"/>
                <w:color w:val="auto"/>
              </w:rPr>
              <w:t>Foreign Currency</w:t>
            </w:r>
          </w:p>
        </w:tc>
        <w:tc>
          <w:tcPr>
            <w:tcW w:w="100" w:type="dxa"/>
            <w:vAlign w:val="bottom"/>
          </w:tcPr>
          <w:p>
            <w:pPr>
              <w:spacing w:after="0"/>
              <w:rPr>
                <w:sz w:val="14"/>
                <w:szCs w:val="14"/>
                <w:color w:val="auto"/>
              </w:rPr>
            </w:pPr>
          </w:p>
        </w:tc>
        <w:tc>
          <w:tcPr>
            <w:tcW w:w="1700" w:type="dxa"/>
            <w:vAlign w:val="bottom"/>
            <w:gridSpan w:val="3"/>
          </w:tcPr>
          <w:p>
            <w:pPr>
              <w:ind w:left="40"/>
              <w:spacing w:after="0" w:line="170" w:lineRule="exact"/>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14"/>
                <w:szCs w:val="14"/>
                <w:color w:val="auto"/>
              </w:rPr>
            </w:pPr>
          </w:p>
        </w:tc>
        <w:tc>
          <w:tcPr>
            <w:tcW w:w="1380" w:type="dxa"/>
            <w:vAlign w:val="bottom"/>
          </w:tcPr>
          <w:p>
            <w:pPr>
              <w:jc w:val="right"/>
              <w:ind w:right="150"/>
              <w:spacing w:after="0" w:line="170" w:lineRule="exact"/>
              <w:rPr>
                <w:sz w:val="20"/>
                <w:szCs w:val="20"/>
                <w:color w:val="auto"/>
              </w:rPr>
            </w:pPr>
            <w:r>
              <w:rPr>
                <w:rFonts w:ascii="Arial" w:cs="Arial" w:eastAsia="Arial" w:hAnsi="Arial"/>
                <w:sz w:val="18"/>
                <w:szCs w:val="18"/>
                <w:b w:val="1"/>
                <w:bCs w:val="1"/>
                <w:color w:val="auto"/>
              </w:rPr>
              <w:t>Interest Rate</w:t>
            </w:r>
          </w:p>
        </w:tc>
        <w:tc>
          <w:tcPr>
            <w:tcW w:w="100" w:type="dxa"/>
            <w:vAlign w:val="bottom"/>
          </w:tcPr>
          <w:p>
            <w:pPr>
              <w:spacing w:after="0"/>
              <w:rPr>
                <w:sz w:val="14"/>
                <w:szCs w:val="14"/>
                <w:color w:val="auto"/>
              </w:rPr>
            </w:pPr>
          </w:p>
        </w:tc>
        <w:tc>
          <w:tcPr>
            <w:tcW w:w="172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Foreign Exchange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Translation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Swaps</w:t>
            </w:r>
          </w:p>
        </w:tc>
        <w:tc>
          <w:tcPr>
            <w:tcW w:w="100" w:type="dxa"/>
            <w:vAlign w:val="bottom"/>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Forward Contracts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1180" w:type="dxa"/>
            <w:vAlign w:val="bottom"/>
            <w:gridSpan w:val="2"/>
            <w:shd w:val="clear" w:color="auto" w:fill="CCEEFF"/>
          </w:tcPr>
          <w:p>
            <w:pPr>
              <w:jc w:val="center"/>
              <w:ind w:right="7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period change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180" w:type="dxa"/>
            <w:vAlign w:val="bottom"/>
            <w:gridSpan w:val="2"/>
            <w:shd w:val="clear" w:color="auto" w:fill="CCEEFF"/>
          </w:tcPr>
          <w:p>
            <w:pPr>
              <w:jc w:val="center"/>
              <w:ind w:right="7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the three months ended June 30, 2023, our effective tax rate was 29.4% as we recognized income tax expense of $10.3 million on income of $35.0 million. The effective tax rate of 29.4% was less favorable than the statutory rate, inclusive of state income taxes, of 26.6% primarily due to certain nondeductible expense items. These unfavorable items were partially offset by a tax benefit related to non-taxable gains on our investments used to fund our deferred compensation liability.</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For the three months ended June 30, 2022, our effective tax rate was 36.0% as we recognized income tax expense of $7.8 million on income of $21.7 million. The effective tax rate of 36.0%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3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six months ended June 30, 2023, our effective tax rate was 25.0% as we recognized income tax expense of $12.7 million on income of $50.8 million. The effective tax rate of 25.0% was more favorable than the statutory rate, inclusive of state income taxes, of 26.6% primarily due to a discrete tax benefit for share-based compensation awards that vested during the first quarter of 2023 and a tax benefit related to non-taxable gains on our investments used to fund our deferred compensation liability. These favorable items were partially offset by certain nondeductible expense items.</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the six months ended June 30, 2022, our effective tax rate was 31.9% as we recognized income tax expense of $19.1 million on income of $59.8 million. The effective tax rate of 31.9%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2023, we had $0.6 million of unrecognized tax benefits which would affect the effective tax rate if recognized. It is reasonably possible that approximately $0.6 million of the liability for unrecognized tax benefits could decrease in the next twelve months due to the expiration of statutes of limitations.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8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Guarantees in the form of letters of credit totaling $0.7 million were outstanding at both June 30, 2023 and December 31, 2022, to support certain office lease obligations.</w:t>
      </w:r>
    </w:p>
    <w:p>
      <w:pPr>
        <w:spacing w:after="0" w:line="12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2023 and December 31, 2022, the total estimated fair value of our outstanding contingent consideration liability was $2.0 million and $3.2 million,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2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81" w:lineRule="exact"/>
        <w:rPr>
          <w:rFonts w:ascii="Arial" w:cs="Arial" w:eastAsia="Arial" w:hAnsi="Arial"/>
          <w:sz w:val="18"/>
          <w:szCs w:val="18"/>
          <w:b w:val="1"/>
          <w:bCs w:val="1"/>
          <w:color w:val="auto"/>
        </w:rPr>
      </w:pPr>
    </w:p>
    <w:p>
      <w:pPr>
        <w:ind w:left="660"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spacing w:after="0" w:line="12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81" w:lineRule="exact"/>
        <w:rPr>
          <w:rFonts w:ascii="Arial" w:cs="Arial" w:eastAsia="Arial" w:hAnsi="Arial"/>
          <w:sz w:val="18"/>
          <w:szCs w:val="18"/>
          <w:color w:val="auto"/>
        </w:rPr>
      </w:pPr>
    </w:p>
    <w:p>
      <w:pPr>
        <w:ind w:left="660" w:right="20"/>
        <w:spacing w:after="0" w:line="253"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81" w:lineRule="exact"/>
        <w:rPr>
          <w:rFonts w:ascii="Arial" w:cs="Arial" w:eastAsia="Arial" w:hAnsi="Arial"/>
          <w:sz w:val="18"/>
          <w:szCs w:val="18"/>
          <w:b w:val="1"/>
          <w:bCs w:val="1"/>
          <w:color w:val="auto"/>
        </w:rPr>
      </w:pPr>
    </w:p>
    <w:p>
      <w:pPr>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2023 and 2022, along with the items necessary to reconcile the segment information to the totals reported in the accompanying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173,768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128,474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322,817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250,350</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49,151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30,364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81,406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110,694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88,225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214,841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168,887</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21,691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50,562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62,297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56,626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126,996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114,137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10,472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24,539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190"/>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346,759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273,325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664,654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533,374</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12,218</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b w:val="1"/>
                <w:bCs w:val="1"/>
                <w:color w:val="auto"/>
              </w:rPr>
              <w:t>Total revenues and reimbursable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354,899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280,817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681,284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545,592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87,020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63,970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156,507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118,522</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42,923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89,263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63,460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39,719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58,150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44,962</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(7,327)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(7,318)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34,985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21,677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50,832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59,804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following table illustrates the disaggregation of revenues by our two principal capabilities: i) Consulting and Managed Services and ii) Digital, and includes a reconciliation of the disaggregated revenues to revenues from our three operating segments for the three and six months ended June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Capability</w:t>
            </w: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124,944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83,955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226,680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167,714</w:t>
            </w:r>
          </w:p>
        </w:tc>
      </w:tr>
      <w:tr>
        <w:trPr>
          <w:trHeight w:val="23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96,137</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82,636</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173,768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128,474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322,817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250,350</w:t>
            </w: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53,426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49,279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106,653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93,460</w:t>
            </w:r>
          </w:p>
        </w:tc>
      </w:tr>
      <w:tr>
        <w:trPr>
          <w:trHeight w:val="23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75,427</w:t>
            </w:r>
          </w:p>
        </w:tc>
      </w:tr>
      <w:tr>
        <w:trPr>
          <w:trHeight w:val="230"/>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110,694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88,225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214,841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168,887</w:t>
            </w:r>
          </w:p>
        </w:tc>
      </w:tr>
      <w:tr>
        <w:trPr>
          <w:trHeight w:val="23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18,885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14,637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41,116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37,281</w:t>
            </w: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76,856</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62,297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56,626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126,996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114,137</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197,255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147,871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374,449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298,455</w:t>
            </w:r>
          </w:p>
        </w:tc>
      </w:tr>
      <w:tr>
        <w:trPr>
          <w:trHeight w:val="23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290,205</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234,919</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346,759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273,325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664,654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533,374</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For the three and six months ended June 30, 2023 and 2022, substantially all of our revenues were recognized over time. At June 30, 2023 and December 31, 2022, no single client accounted for greater than 10% of our combined balance of receivables from clients, net and unbilled services, net. During the three and six months ended June 30, 2023 and 2022, no single client generated greater than 10% of our consolidated revenues.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8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and products and manage our business under three operating segments: Healthcare, Education and Commercial.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also provide revenue reporting across two principal capabilities: i) Consulting and Managed Services and ii) Digital.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8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Within each of our reportable segments, we provide services under two principal capabilities: i) Consulting and Managed Services and ii) Digital.</w:t>
      </w:r>
    </w:p>
    <w:p>
      <w:pPr>
        <w:spacing w:after="0" w:line="11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81" w:lineRule="exact"/>
        <w:rPr>
          <w:rFonts w:ascii="Arial" w:cs="Arial" w:eastAsia="Arial" w:hAnsi="Arial"/>
          <w:sz w:val="18"/>
          <w:szCs w:val="18"/>
          <w:color w:val="auto"/>
        </w:rPr>
      </w:pPr>
    </w:p>
    <w:p>
      <w:pPr>
        <w:ind w:left="660" w:right="120"/>
        <w:spacing w:after="0" w:line="254" w:lineRule="auto"/>
        <w:rPr>
          <w:rFonts w:ascii="Arial" w:cs="Arial" w:eastAsia="Arial" w:hAnsi="Arial"/>
          <w:sz w:val="18"/>
          <w:szCs w:val="18"/>
          <w:color w:val="auto"/>
        </w:rPr>
      </w:pPr>
      <w:r>
        <w:rPr>
          <w:rFonts w:ascii="Arial" w:cs="Arial" w:eastAsia="Arial" w:hAnsi="Arial"/>
          <w:sz w:val="18"/>
          <w:szCs w:val="18"/>
          <w:color w:val="auto"/>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and managed services projects are often coupled with our digital services and product offerings.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81" w:lineRule="exact"/>
        <w:rPr>
          <w:rFonts w:ascii="Arial" w:cs="Arial" w:eastAsia="Arial" w:hAnsi="Arial"/>
          <w:sz w:val="18"/>
          <w:szCs w:val="18"/>
          <w:b w:val="1"/>
          <w:bCs w:val="1"/>
          <w:i w:val="1"/>
          <w:iCs w:val="1"/>
          <w:color w:val="auto"/>
        </w:rPr>
      </w:pPr>
    </w:p>
    <w:p>
      <w:pPr>
        <w:ind w:left="660" w:right="18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spacing w:after="0" w:line="135" w:lineRule="exact"/>
        <w:rPr>
          <w:rFonts w:ascii="Arial" w:cs="Arial" w:eastAsia="Arial" w:hAnsi="Arial"/>
          <w:sz w:val="18"/>
          <w:szCs w:val="18"/>
          <w:b w:val="1"/>
          <w:bCs w:val="1"/>
          <w:i w:val="1"/>
          <w:iCs w:val="1"/>
          <w:color w:val="auto"/>
        </w:rPr>
      </w:pPr>
    </w:p>
    <w:p>
      <w:pPr>
        <w:ind w:left="660" w:right="32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and products and manage our business under three operating industries, which are our operating segments: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Healthcare, Education and Commercial.</w:t>
      </w:r>
    </w:p>
    <w:p>
      <w:pPr>
        <w:spacing w:after="0" w:line="14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81" w:lineRule="exact"/>
        <w:rPr>
          <w:rFonts w:ascii="Arial" w:cs="Arial" w:eastAsia="Arial" w:hAnsi="Arial"/>
          <w:sz w:val="18"/>
          <w:szCs w:val="18"/>
          <w:b w:val="1"/>
          <w:bCs w:val="1"/>
          <w:color w:val="auto"/>
        </w:rPr>
      </w:pPr>
    </w:p>
    <w:p>
      <w:pPr>
        <w:ind w:left="660" w:right="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spacing w:after="0" w:line="132" w:lineRule="exact"/>
        <w:rPr>
          <w:rFonts w:ascii="Arial" w:cs="Arial" w:eastAsia="Arial" w:hAnsi="Arial"/>
          <w:sz w:val="18"/>
          <w:szCs w:val="18"/>
          <w:b w:val="1"/>
          <w:bCs w:val="1"/>
          <w:color w:val="auto"/>
        </w:rPr>
      </w:pPr>
    </w:p>
    <w:p>
      <w:pPr>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w:t>
      </w:r>
    </w:p>
    <w:p>
      <w:pPr>
        <w:spacing w:after="0" w:line="12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81" w:lineRule="exact"/>
        <w:rPr>
          <w:rFonts w:ascii="Arial" w:cs="Arial" w:eastAsia="Arial" w:hAnsi="Arial"/>
          <w:sz w:val="18"/>
          <w:szCs w:val="18"/>
          <w:b w:val="1"/>
          <w:bCs w:val="1"/>
          <w:color w:val="auto"/>
        </w:rPr>
      </w:pPr>
    </w:p>
    <w:p>
      <w:pPr>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 We continue to broaden our offerings into new areas; for example, research managed services, advancement, campus health and well-being, and athletics.</w:t>
      </w:r>
    </w:p>
    <w:p>
      <w:pPr>
        <w:spacing w:after="0" w:line="137"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Commercial</w:t>
      </w:r>
    </w:p>
    <w:p>
      <w:pPr>
        <w:spacing w:after="0" w:line="181" w:lineRule="exact"/>
        <w:rPr>
          <w:rFonts w:ascii="Arial" w:cs="Arial" w:eastAsia="Arial" w:hAnsi="Arial"/>
          <w:sz w:val="18"/>
          <w:szCs w:val="18"/>
          <w:b w:val="1"/>
          <w:bCs w:val="1"/>
          <w:i w:val="1"/>
          <w:iCs w:val="1"/>
          <w:color w:val="auto"/>
        </w:rPr>
      </w:pPr>
    </w:p>
    <w:p>
      <w:pPr>
        <w:ind w:left="660" w:right="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w:t>
      </w:r>
    </w:p>
    <w:p>
      <w:pPr>
        <w:sectPr>
          <w:pgSz w:w="11900" w:h="16838" w:orient="portrait"/>
          <w:cols w:equalWidth="0" w:num="1">
            <w:col w:w="11220"/>
          </w:cols>
          <w:pgMar w:left="320" w:top="125" w:right="359" w:bottom="1101"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101"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200"/>
        <w:spacing w:after="0" w:line="258" w:lineRule="auto"/>
        <w:rPr>
          <w:sz w:val="20"/>
          <w:szCs w:val="20"/>
          <w:color w:val="auto"/>
        </w:rPr>
      </w:pPr>
      <w:r>
        <w:rPr>
          <w:rFonts w:ascii="Arial" w:cs="Arial" w:eastAsia="Arial" w:hAnsi="Arial"/>
          <w:sz w:val="18"/>
          <w:szCs w:val="18"/>
          <w:color w:val="auto"/>
        </w:rPr>
        <w:t>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strategy is to be the premier transformation partner to our clients by helping them address a variety of strategic, operational, financial, people, and organizational challenges through an array of industry-differentiated consulting, digital and managed services offerings that meet their unique needs. To achieve our strategic and financial objectives that will drive increased shareholder value, we remain focused on:</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Extending our leading market positions and accelerating growth in healthcare and education,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our presence in commercial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our integrated, global digital platform,</w:t>
      </w:r>
    </w:p>
    <w:p>
      <w:pPr>
        <w:spacing w:after="0" w:line="171" w:lineRule="exact"/>
        <w:rPr>
          <w:rFonts w:ascii="Arial" w:cs="Arial" w:eastAsia="Arial" w:hAnsi="Arial"/>
          <w:sz w:val="18"/>
          <w:szCs w:val="18"/>
          <w:color w:val="auto"/>
        </w:rPr>
      </w:pPr>
    </w:p>
    <w:p>
      <w:pPr>
        <w:ind w:left="660" w:right="460" w:hanging="328"/>
        <w:spacing w:after="0" w:line="275" w:lineRule="auto"/>
        <w:tabs>
          <w:tab w:leader="none" w:pos="671"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a more sustainable base of revenue and executing on our margin levers to drive more consistent growth and improved profitability,</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deploying capital to accelerate our strategy and return capital to shareholders, and</w:t>
      </w:r>
    </w:p>
    <w:p>
      <w:pPr>
        <w:spacing w:after="0" w:line="171" w:lineRule="exact"/>
        <w:rPr>
          <w:rFonts w:ascii="Arial" w:cs="Arial" w:eastAsia="Arial" w:hAnsi="Arial"/>
          <w:sz w:val="18"/>
          <w:szCs w:val="18"/>
          <w:color w:val="auto"/>
        </w:rPr>
      </w:pPr>
    </w:p>
    <w:p>
      <w:pPr>
        <w:ind w:left="660" w:right="160" w:hanging="328"/>
        <w:spacing w:after="0" w:line="275" w:lineRule="auto"/>
        <w:tabs>
          <w:tab w:leader="none" w:pos="67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and growing our talented team, including attracting and retaining our managing directors - the senior most practitioners that lead our revenue generation efforts.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the performance of our businesses to ensure our investments meet these objectives.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fixed-fee (including software license revenue); time-and-expense; performance-based; and software support, maintenance and subscriptions.</w:t>
      </w:r>
    </w:p>
    <w:p>
      <w:pPr>
        <w:spacing w:after="0" w:line="165" w:lineRule="exact"/>
        <w:rPr>
          <w:sz w:val="20"/>
          <w:szCs w:val="20"/>
          <w:color w:val="auto"/>
        </w:rPr>
      </w:pPr>
    </w:p>
    <w:p>
      <w:pPr>
        <w:ind w:left="660" w:right="20" w:hanging="328"/>
        <w:spacing w:after="0" w:line="266"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certain digital products.</w:t>
      </w:r>
    </w:p>
    <w:p>
      <w:pPr>
        <w:spacing w:after="0" w:line="121" w:lineRule="exact"/>
        <w:rPr>
          <w:rFonts w:ascii="Arial" w:cs="Arial" w:eastAsia="Arial" w:hAnsi="Arial"/>
          <w:sz w:val="18"/>
          <w:szCs w:val="18"/>
          <w:color w:val="auto"/>
        </w:rPr>
      </w:pPr>
    </w:p>
    <w:p>
      <w:pPr>
        <w:ind w:left="660" w:right="480" w:hanging="328"/>
        <w:spacing w:after="0" w:line="266"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require the client to pay based on the number of hours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by our revenue-generating professionals at agreed upon rates. Time-and-expense arrangements also include speaking engagements, conferences and publications purchased by our clients.</w:t>
      </w:r>
    </w:p>
    <w:p>
      <w:pPr>
        <w:spacing w:after="0" w:line="121" w:lineRule="exact"/>
        <w:rPr>
          <w:rFonts w:ascii="Arial" w:cs="Arial" w:eastAsia="Arial" w:hAnsi="Arial"/>
          <w:sz w:val="18"/>
          <w:szCs w:val="18"/>
          <w:color w:val="auto"/>
        </w:rPr>
      </w:pPr>
    </w:p>
    <w:p>
      <w:pPr>
        <w:ind w:left="660" w:hanging="328"/>
        <w:spacing w:after="0" w:line="256"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fee billing arrangements, fees are tied to the attainment of contractually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spacing w:after="0" w:line="133" w:lineRule="exact"/>
        <w:rPr>
          <w:rFonts w:ascii="Arial" w:cs="Arial" w:eastAsia="Arial" w:hAnsi="Arial"/>
          <w:sz w:val="18"/>
          <w:szCs w:val="18"/>
          <w:color w:val="auto"/>
        </w:rPr>
      </w:pPr>
    </w:p>
    <w:p>
      <w:pPr>
        <w:ind w:left="660" w:right="180" w:hanging="328"/>
        <w:spacing w:after="0" w:line="261"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certain cloud-based digital products. Software support, maintenance and subscription revenues are recognized ratably over the support or subscription period. These fees are generally billed in advance and included in deferred revenues until recognized.</w:t>
      </w:r>
    </w:p>
    <w:p>
      <w:pPr>
        <w:spacing w:after="0" w:line="13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ectPr>
          <w:pgSz w:w="11900" w:h="16838" w:orient="portrait"/>
          <w:cols w:equalWidth="0" w:num="1">
            <w:col w:w="11220"/>
          </w:cols>
          <w:pgMar w:left="320" w:top="125" w:right="359" w:bottom="115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155"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81"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38"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Selling, general and administrative expenses consist primarily of compensation costs for our support personnel. Also included in selling, general and administrative expenses is third-party professional fees, software licenses and data hosting expenses, rent and other office related expenses, sales and marketing related expenses, recruiting and training expenses, and practice administration and meetings expenses.</w:t>
      </w:r>
    </w:p>
    <w:p>
      <w:pPr>
        <w:spacing w:after="0" w:line="136"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Other operating expenses include restructuring charges, depreciation expense, amortization expense related to internally developed software costs and amortization of intangible assets acquired in business combinations.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6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are not impacted by these items. We do not include normal, recurring, cash operating expenses in our restructuring charges.</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Other losses (gains): </w:t>
      </w:r>
      <w:r>
        <w:rPr>
          <w:rFonts w:ascii="Arial" w:cs="Arial" w:eastAsia="Arial" w:hAnsi="Arial"/>
          <w:sz w:val="18"/>
          <w:szCs w:val="18"/>
          <w:color w:val="auto"/>
        </w:rPr>
        <w:t>We exclude the effects of other losses (gains), which primarily relate to changes in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contingent consideration related to business acquisitions and litigation settlement losses and gains, to permit comparability with periods that are not impacted by these items.</w:t>
      </w:r>
    </w:p>
    <w:p>
      <w:pPr>
        <w:spacing w:after="0" w:line="12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related to business acquisitions.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exclude the effect of unrealized gains related to changes in the fair value of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and other related software, which is included within selling, general and administrative expenses in our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8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w:t>
      </w:r>
    </w:p>
    <w:p>
      <w:pPr>
        <w:ind w:right="60"/>
        <w:spacing w:after="0" w:line="256" w:lineRule="auto"/>
        <w:rPr>
          <w:sz w:val="20"/>
          <w:szCs w:val="20"/>
          <w:color w:val="auto"/>
        </w:rPr>
      </w:pPr>
      <w:r>
        <w:rPr>
          <w:rFonts w:ascii="Arial" w:cs="Arial" w:eastAsia="Arial" w:hAnsi="Arial"/>
          <w:sz w:val="18"/>
          <w:szCs w:val="18"/>
          <w:color w:val="auto"/>
        </w:rPr>
        <w:t>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2023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Total revenues increased 26.9% to $346.8 million for the second quarter of 2023 from $273.3 million for the second quarter of 2022.</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increased 92.4% to $1.27 for the second quarter of 2023, compared to $0.66 for the second quarter of 2022.</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Adjusted diluted EPS increased 66.3% to $1.38 for the second quarter of 2023, compared to $0.83 for the second quarter of 2022.</w:t>
      </w:r>
    </w:p>
    <w:p>
      <w:pPr>
        <w:spacing w:after="0" w:line="171" w:lineRule="exact"/>
        <w:rPr>
          <w:rFonts w:ascii="Arial" w:cs="Arial" w:eastAsia="Arial" w:hAnsi="Arial"/>
          <w:sz w:val="18"/>
          <w:szCs w:val="18"/>
          <w:b w:val="1"/>
          <w:bCs w:val="1"/>
          <w:i w:val="1"/>
          <w:iCs w:val="1"/>
          <w:color w:val="auto"/>
        </w:rPr>
      </w:pPr>
    </w:p>
    <w:p>
      <w:pPr>
        <w:ind w:left="660" w:right="180" w:hanging="328"/>
        <w:spacing w:after="0" w:line="275" w:lineRule="auto"/>
        <w:tabs>
          <w:tab w:leader="none" w:pos="671"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Net cash provided by operating activities was $78.2 million in the second quarter of 2023, compared to $28.9 million for the second quarter of 2022.</w:t>
      </w:r>
    </w:p>
    <w:p>
      <w:pPr>
        <w:spacing w:after="0" w:line="11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Returned $59.6 million to shareholders in the first six months of 2023 by repurchasing 826,542 shares of our common stock.</w:t>
      </w:r>
    </w:p>
    <w:p>
      <w:pPr>
        <w:sectPr>
          <w:pgSz w:w="11900" w:h="16838" w:orient="portrait"/>
          <w:cols w:equalWidth="0" w:num="1">
            <w:col w:w="11240"/>
          </w:cols>
          <w:pgMar w:left="320" w:top="125"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55"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revenues increased $73.4 million, or 26.9%, to $346.8 million for the second quarter of 2023 from $273.3 million for the second quarter of 2022. The increase in revenues reflects continued strength in demand for both our Consulting and Managed Services capability and Digital capability across all segments, which reflects our focus on accelerating growth in our healthcare and education industries and growing our presence in commercial industries.</w:t>
      </w:r>
    </w:p>
    <w:p>
      <w:pPr>
        <w:spacing w:after="0" w:line="13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our Consulting and Managed Services capability, revenues for the second quarter of 2023 increased 33.4%, compared to the second quarter of 2022, and reflected strengthened demand in all of our segments. The utilization rate within our Consulting capability increased to 76.0% in the second quarter of 2023, compared to 73.2% in the second quarter of 2022.</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Revenues within our Digital capability increased 19.2% in the second quarter of 2023, compared to the second quarter of 2022, and reflected strength in demand in all of our segments. The utilization rate within our Digital capability increased to 74.7% in the second quarter of 2023, compared to 74.3% in the second quarter of 2022.</w:t>
      </w:r>
    </w:p>
    <w:p>
      <w:pPr>
        <w:spacing w:after="0" w:line="13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total number of revenue-generating professionals increased to 5,174 as of June 30, 2023, compared to 4,243 as of June 30, 2022, as a result of hiring to support the overall increase in demand for our services within all of our segments. We proactively plan and manage the size and composition of our workforce and take actions as needed to address changes in the anticipated demand for our services as employee compensation costs are the most significant portion of our operating expenses.</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income increased $10.8 million to $24.7 million for the three months ended June 30, 2023 from $13.9 million for the same period last year. As a result of the increase in net income, diluted earnings per share for the second quarter of 2023 was $1.27, compared to $0.66 for the second quarter of 2022. Adjusted diluted earnings per share increased 66.3% to $1.38 for the second quarter of 2023, compared to $0.83 for the second quarter of 2022.</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was $78.2 million in the second quarter of 2023, compared to $28.9 million for the second quarter of 2022. The increase in net cash provided by operating activities was primarily related to an increase in cash collections in the second quarter of 2023, compared to the second quarter of 2022; partially offset by increases in salaries and related expenses for our revenue-generating professionals and payments for selling, general and administrative expenses in the second quarter of 2023, compared to the second quarter of 2022.</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the first six months of 2023, we deployed $59.6 million of capital to repurchase 826,542 shares of our common stock, representing 4.2% of our common stock outstanding as of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8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w:t>
      </w:r>
    </w:p>
    <w:p>
      <w:pPr>
        <w:sectPr>
          <w:pgSz w:w="11900" w:h="16838" w:orient="portrait"/>
          <w:cols w:equalWidth="0" w:num="1">
            <w:col w:w="11240"/>
          </w:cols>
          <w:pgMar w:left="320" w:top="125" w:right="339" w:bottom="372" w:gutter="0" w:footer="0" w:header="0"/>
        </w:sectPr>
      </w:pPr>
    </w:p>
    <w:p>
      <w:pPr>
        <w:spacing w:after="0" w:line="245" w:lineRule="exact"/>
        <w:rPr>
          <w:sz w:val="20"/>
          <w:szCs w:val="20"/>
          <w:color w:val="auto"/>
        </w:rPr>
      </w:pPr>
    </w:p>
    <w:p>
      <w:pPr>
        <w:ind w:left="20" w:right="580"/>
        <w:spacing w:after="0" w:line="270"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940" w:type="dxa"/>
            <w:vAlign w:val="bottom"/>
            <w:gridSpan w:val="4"/>
          </w:tcPr>
          <w:p>
            <w:pPr>
              <w:jc w:val="center"/>
              <w:spacing w:after="0" w:line="187"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6"/>
                <w:szCs w:val="16"/>
                <w:color w:val="auto"/>
              </w:rPr>
            </w:pPr>
          </w:p>
        </w:tc>
        <w:tc>
          <w:tcPr>
            <w:tcW w:w="2940" w:type="dxa"/>
            <w:vAlign w:val="bottom"/>
            <w:gridSpan w:val="4"/>
          </w:tcPr>
          <w:p>
            <w:pPr>
              <w:jc w:val="center"/>
              <w:spacing w:after="0" w:line="187" w:lineRule="exact"/>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0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right="91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-7620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4520" w:space="720"/>
            <w:col w:w="6000"/>
          </w:cols>
          <w:pgMar w:left="320" w:top="125" w:right="339" w:bottom="372"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173,768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128,474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322,817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250,350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49,151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30,364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81,406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28.3 %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110,694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88,225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214,841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168,887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21,691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50,562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62,297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56,626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126,996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114,137</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11,915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24,539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346,759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273,325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664,654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533,374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8,140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7,492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12,218</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Total revenues and reimbursable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354,899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280,817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681,284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545,592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87,020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63,970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156,507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118,522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42,923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29,912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89,263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63,460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372"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72"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580"/>
        <w:spacing w:after="0" w:line="274"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7"/>
                <w:szCs w:val="17"/>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0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r>
    </w:tbl>
    <w:p>
      <w:pPr>
        <w:spacing w:after="0" w:line="19" w:lineRule="exact"/>
        <w:rPr>
          <w:sz w:val="20"/>
          <w:szCs w:val="20"/>
          <w:color w:val="auto"/>
        </w:rPr>
      </w:pPr>
    </w:p>
    <w:p>
      <w:pPr>
        <w:sectPr>
          <w:pgSz w:w="11900" w:h="16838" w:orient="portrait"/>
          <w:cols w:equalWidth="0" w:num="2">
            <w:col w:w="4520" w:space="720"/>
            <w:col w:w="60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5140" w:type="dxa"/>
            <w:vAlign w:val="bottom"/>
            <w:tcBorders>
              <w:top w:val="single" w:sz="8" w:color="auto"/>
            </w:tcBorders>
          </w:tcPr>
          <w:p>
            <w:pPr>
              <w:ind w:left="20"/>
              <w:spacing w:after="0" w:line="205" w:lineRule="exact"/>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color w:val="auto"/>
              </w:rPr>
              <w:t>39,719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color w:val="auto"/>
              </w:rPr>
              <w:t>29,004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color w:val="auto"/>
              </w:rPr>
              <w:t>58,150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color w:val="auto"/>
              </w:rPr>
              <w:t>44,962</w:t>
            </w:r>
          </w:p>
        </w:tc>
      </w:tr>
      <w:tr>
        <w:trPr>
          <w:trHeight w:val="229"/>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14,842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21,677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50,832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59,804</w:t>
            </w: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19,077</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24,712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13,875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38,131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40,727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0.67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1.97</w:t>
            </w: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169"/>
        </w:trPr>
        <w:tc>
          <w:tcPr>
            <w:tcW w:w="514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(at period end):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1,619</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1,407</w:t>
            </w:r>
          </w:p>
        </w:tc>
      </w:tr>
      <w:tr>
        <w:trPr>
          <w:trHeight w:val="229"/>
        </w:trPr>
        <w:tc>
          <w:tcPr>
            <w:tcW w:w="514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1,217</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4,243</w:t>
            </w:r>
          </w:p>
        </w:tc>
      </w:tr>
      <w:tr>
        <w:trPr>
          <w:trHeight w:val="223"/>
        </w:trPr>
        <w:tc>
          <w:tcPr>
            <w:tcW w:w="5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Revenue by capability: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197,255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147,871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374,449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298,455</w:t>
            </w:r>
          </w:p>
        </w:tc>
      </w:tr>
      <w:tr>
        <w:trPr>
          <w:trHeight w:val="23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149,504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125,454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290,205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234,919</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346,759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273,325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664,654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533,374</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5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Number of revenue-generating professionals by capability</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period end):</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2,018</w:t>
            </w: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2,225</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4,243</w:t>
            </w:r>
          </w:p>
        </w:tc>
      </w:tr>
      <w:tr>
        <w:trPr>
          <w:trHeight w:val="223"/>
        </w:trPr>
        <w:tc>
          <w:tcPr>
            <w:tcW w:w="5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Utilization rate by capability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Digital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73.6 %</w:t>
            </w:r>
          </w:p>
        </w:tc>
      </w:tr>
    </w:tbl>
    <w:p>
      <w:pPr>
        <w:spacing w:after="0" w:line="257" w:lineRule="exact"/>
        <w:rPr>
          <w:sz w:val="20"/>
          <w:szCs w:val="20"/>
          <w:color w:val="auto"/>
        </w:rPr>
      </w:pPr>
    </w:p>
    <w:p>
      <w:pPr>
        <w:ind w:left="580" w:right="820" w:hanging="572"/>
        <w:spacing w:after="0" w:line="27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w:t>
      </w:r>
    </w:p>
    <w:p>
      <w:pPr>
        <w:spacing w:after="0" w:line="11" w:lineRule="exact"/>
        <w:rPr>
          <w:rFonts w:ascii="Arial" w:cs="Arial" w:eastAsia="Arial" w:hAnsi="Arial"/>
          <w:sz w:val="18"/>
          <w:szCs w:val="18"/>
          <w:color w:val="auto"/>
        </w:rPr>
      </w:pPr>
    </w:p>
    <w:p>
      <w:pPr>
        <w:ind w:left="580" w:right="60" w:hanging="572"/>
        <w:spacing w:after="0" w:line="263"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8"/>
          <w:szCs w:val="18"/>
          <w:color w:val="auto"/>
        </w:rPr>
        <w:t>Managed Services capability revenues within our Healthcare segment was $17.3 million and $16.1 million for the three months ended June 30, 2023 and 2022, respectively; and $37.1 million and $29.9 million for the six months ended June 30, 2023 and 2022, respectively.</w:t>
      </w:r>
    </w:p>
    <w:p>
      <w:pPr>
        <w:spacing w:after="0" w:line="21" w:lineRule="exact"/>
        <w:rPr>
          <w:rFonts w:ascii="Arial" w:cs="Arial" w:eastAsia="Arial" w:hAnsi="Arial"/>
          <w:sz w:val="16"/>
          <w:szCs w:val="16"/>
          <w:color w:val="auto"/>
        </w:rPr>
      </w:pPr>
    </w:p>
    <w:p>
      <w:pPr>
        <w:ind w:left="580" w:right="320"/>
        <w:spacing w:after="0" w:line="263" w:lineRule="auto"/>
        <w:rPr>
          <w:rFonts w:ascii="Arial" w:cs="Arial" w:eastAsia="Arial" w:hAnsi="Arial"/>
          <w:sz w:val="16"/>
          <w:szCs w:val="16"/>
          <w:color w:val="auto"/>
        </w:rPr>
      </w:pPr>
      <w:r>
        <w:rPr>
          <w:rFonts w:ascii="Arial" w:cs="Arial" w:eastAsia="Arial" w:hAnsi="Arial"/>
          <w:sz w:val="18"/>
          <w:szCs w:val="18"/>
          <w:color w:val="auto"/>
        </w:rPr>
        <w:t>Managed Services capability revenues within our Education segment was $4.9 million and $3.9 million for the three months ended June 30, 2023 and 2022, respectively; and $9.6 million and $7.3 million for the six months ended June 30, 2023 and 2022, respectively.</w:t>
      </w:r>
    </w:p>
    <w:p>
      <w:pPr>
        <w:spacing w:after="0" w:line="21" w:lineRule="exact"/>
        <w:rPr>
          <w:rFonts w:ascii="Arial" w:cs="Arial" w:eastAsia="Arial" w:hAnsi="Arial"/>
          <w:sz w:val="16"/>
          <w:szCs w:val="16"/>
          <w:color w:val="auto"/>
        </w:rPr>
      </w:pPr>
    </w:p>
    <w:p>
      <w:pPr>
        <w:ind w:left="580" w:right="280" w:hanging="572"/>
        <w:spacing w:after="0" w:line="27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as of June 30, 2023 and 2022 was 772 and 504, respectively.</w:t>
      </w:r>
    </w:p>
    <w:p>
      <w:pPr>
        <w:spacing w:after="0" w:line="12" w:lineRule="exact"/>
        <w:rPr>
          <w:sz w:val="20"/>
          <w:szCs w:val="20"/>
          <w:color w:val="auto"/>
        </w:rPr>
      </w:pPr>
    </w:p>
    <w:p>
      <w:pPr>
        <w:ind w:left="580" w:right="20"/>
        <w:spacing w:after="0" w:line="275" w:lineRule="auto"/>
        <w:rPr>
          <w:sz w:val="20"/>
          <w:szCs w:val="20"/>
          <w:color w:val="auto"/>
        </w:rPr>
      </w:pPr>
      <w:r>
        <w:rPr>
          <w:rFonts w:ascii="Arial" w:cs="Arial" w:eastAsia="Arial" w:hAnsi="Arial"/>
          <w:sz w:val="18"/>
          <w:szCs w:val="18"/>
          <w:color w:val="auto"/>
        </w:rPr>
        <w:t>The number of Managed Services revenue-generating professionals within our Education segment as of June 30, 2023 and 2022 was 106 and 96, respectively.</w:t>
      </w:r>
    </w:p>
    <w:p>
      <w:pPr>
        <w:spacing w:after="0" w:line="12" w:lineRule="exact"/>
        <w:rPr>
          <w:sz w:val="20"/>
          <w:szCs w:val="20"/>
          <w:color w:val="auto"/>
        </w:rPr>
      </w:pPr>
    </w:p>
    <w:p>
      <w:pPr>
        <w:ind w:left="580" w:right="180" w:hanging="572"/>
        <w:spacing w:after="0" w:line="26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Non-GAAP Measures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8"/>
          </w:tcPr>
          <w:p>
            <w:pPr>
              <w:jc w:val="center"/>
              <w:ind w:right="15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346,759</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273,325</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664,654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533,374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24,712</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13,875</w:t>
            </w: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38,131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40,727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19,077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10,099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4,642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14,219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73,814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78,665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Add back:</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 losses (gains)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Transaction-related expenses</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Unrealized gain on preferred stock investment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48,475</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33,210</w:t>
            </w: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77,977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4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080" w:type="dxa"/>
            <w:vAlign w:val="bottom"/>
            <w:gridSpan w:val="11"/>
          </w:tcPr>
          <w:p>
            <w:pPr>
              <w:spacing w:after="0"/>
              <w:rPr>
                <w:sz w:val="20"/>
                <w:szCs w:val="20"/>
                <w:color w:val="auto"/>
              </w:rPr>
            </w:pPr>
            <w:r>
              <w:rPr>
                <w:rFonts w:ascii="Arial" w:cs="Arial" w:eastAsia="Arial" w:hAnsi="Arial"/>
                <w:sz w:val="18"/>
                <w:szCs w:val="18"/>
                <w:b w:val="1"/>
                <w:bCs w:val="1"/>
                <w:i w:val="1"/>
                <w:iCs w:val="1"/>
                <w:color w:val="auto"/>
                <w:w w:val="99"/>
              </w:rPr>
              <w:t>Reconciliation of Net Income to Adjusted Net Income and Adjusted Diluted Earnings per Share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11"/>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38,131</w:t>
            </w:r>
          </w:p>
        </w:tc>
        <w:tc>
          <w:tcPr>
            <w:tcW w:w="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19,486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20,967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19,598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21,047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7"/>
              </w:rPr>
              <w:t>1,699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losses (gains)</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preferred stock investment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Tax effect of adjustments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adjustments, net of tax</w:t>
            </w:r>
          </w:p>
        </w:tc>
        <w:tc>
          <w:tcPr>
            <w:tcW w:w="4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2,242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26,954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17,482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44,011</w:t>
            </w:r>
          </w:p>
        </w:tc>
        <w:tc>
          <w:tcPr>
            <w:tcW w:w="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Adjusted diluted earnings per share</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three months ended June 30, 2023 and 2022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173,768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3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346,759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273,325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197,255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147,871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37"/>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346,759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273,325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73,434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Revenues increased $73.4 million, or 26.9%, to $346.8 million for the second quarter of 2023 from $273.3 million for the second quarter of 2022. The overall increase in revenues reflects continued strength in demand for both our Consulting and Managed Services capability and Digital capability across all segments, which reflects our focus on accelerating growth in our healthcare and education industries and growing our presence in commercial industries. Additional information on our revenues by segment follows.</w:t>
      </w:r>
    </w:p>
    <w:p>
      <w:pPr>
        <w:spacing w:after="0" w:line="126" w:lineRule="exact"/>
        <w:rPr>
          <w:sz w:val="20"/>
          <w:szCs w:val="20"/>
          <w:color w:val="auto"/>
        </w:rPr>
      </w:pPr>
    </w:p>
    <w:p>
      <w:pPr>
        <w:ind w:left="660" w:hanging="328"/>
        <w:spacing w:after="0" w:line="257" w:lineRule="auto"/>
        <w:tabs>
          <w:tab w:leader="none" w:pos="67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$45.3 million, or 35.3%, primarily driven by strong results in our performance improvement 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due to strengthened demand and exceeding performance expectations on certain performance-based arrangements. The increase in Healthcare revenue was also attributable to strengthened demand for our financial advisory solutions within our Consulting and Managed Services capability and our technology and analytics services within our Digital capability. Revenues in the second quarter of 2023 included $0.3 million of incremental revenues from our acquisition of Customer Evolution, LLC, which was completed in December 2022.</w:t>
      </w:r>
    </w:p>
    <w:p>
      <w:pPr>
        <w:spacing w:after="0" w:line="138" w:lineRule="exact"/>
        <w:rPr>
          <w:rFonts w:ascii="Arial" w:cs="Arial" w:eastAsia="Arial" w:hAnsi="Arial"/>
          <w:sz w:val="18"/>
          <w:szCs w:val="18"/>
          <w:b w:val="1"/>
          <w:bCs w:val="1"/>
          <w:color w:val="auto"/>
        </w:rPr>
      </w:pPr>
    </w:p>
    <w:p>
      <w:pPr>
        <w:ind w:left="660" w:right="84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27.2% to 2,059 as of June 30, 2023, compared to 1,619 as of June 30, 2022.</w:t>
      </w:r>
    </w:p>
    <w:p>
      <w:pPr>
        <w:spacing w:after="0" w:line="109" w:lineRule="exact"/>
        <w:rPr>
          <w:rFonts w:ascii="Arial" w:cs="Arial" w:eastAsia="Arial" w:hAnsi="Arial"/>
          <w:sz w:val="18"/>
          <w:szCs w:val="18"/>
          <w:b w:val="1"/>
          <w:bCs w:val="1"/>
          <w:color w:val="auto"/>
        </w:rPr>
      </w:pPr>
    </w:p>
    <w:p>
      <w:pPr>
        <w:ind w:left="660" w:right="280" w:hanging="328"/>
        <w:spacing w:after="0" w:line="268" w:lineRule="auto"/>
        <w:tabs>
          <w:tab w:leader="none" w:pos="67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$22.5 million, or 25.5%,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products within our Digital capability, as well as strengthened demand for our strategy and operations and research solutions within our Consulting and Managed Services capability.</w:t>
      </w:r>
    </w:p>
    <w:p>
      <w:pPr>
        <w:spacing w:after="0" w:line="126" w:lineRule="exact"/>
        <w:rPr>
          <w:rFonts w:ascii="Arial" w:cs="Arial" w:eastAsia="Arial" w:hAnsi="Arial"/>
          <w:sz w:val="18"/>
          <w:szCs w:val="18"/>
          <w:b w:val="1"/>
          <w:bCs w:val="1"/>
          <w:color w:val="auto"/>
        </w:rPr>
      </w:pPr>
    </w:p>
    <w:p>
      <w:pPr>
        <w:ind w:left="660" w:right="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grew 20.9% to 1,701 as of June 30, 2023, compared to 1,407 as of June 30, 2022.</w:t>
      </w:r>
    </w:p>
    <w:p>
      <w:pPr>
        <w:spacing w:after="0" w:line="109" w:lineRule="exact"/>
        <w:rPr>
          <w:rFonts w:ascii="Arial" w:cs="Arial" w:eastAsia="Arial" w:hAnsi="Arial"/>
          <w:sz w:val="18"/>
          <w:szCs w:val="18"/>
          <w:b w:val="1"/>
          <w:bCs w:val="1"/>
          <w:color w:val="auto"/>
        </w:rPr>
      </w:pPr>
    </w:p>
    <w:p>
      <w:pPr>
        <w:ind w:left="660" w:right="240" w:hanging="328"/>
        <w:spacing w:after="0" w:line="291" w:lineRule="auto"/>
        <w:tabs>
          <w:tab w:leader="none" w:pos="671"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revenues increased $5.7 million, or 10.0%, driven by strengthened demand for our financial advisory solutions within</w:t>
      </w:r>
      <w:r>
        <w:rPr>
          <w:rFonts w:ascii="Arial" w:cs="Arial" w:eastAsia="Arial" w:hAnsi="Arial"/>
          <w:sz w:val="17"/>
          <w:szCs w:val="17"/>
          <w:b w:val="1"/>
          <w:bCs w:val="1"/>
          <w:color w:val="auto"/>
        </w:rPr>
        <w:t xml:space="preserve"> </w:t>
      </w:r>
      <w:r>
        <w:rPr>
          <w:rFonts w:ascii="Arial" w:cs="Arial" w:eastAsia="Arial" w:hAnsi="Arial"/>
          <w:sz w:val="17"/>
          <w:szCs w:val="17"/>
          <w:color w:val="auto"/>
        </w:rPr>
        <w:t>our Consulting and Managed Services capability and our technology and analytics services within our Digital capability, partially offset by a decrease in demand for our strategy and innovation solution within our Consulting and Managed Services capability.</w:t>
      </w:r>
    </w:p>
    <w:p>
      <w:pPr>
        <w:spacing w:after="0" w:line="108" w:lineRule="exact"/>
        <w:rPr>
          <w:rFonts w:ascii="Arial" w:cs="Arial" w:eastAsia="Arial" w:hAnsi="Arial"/>
          <w:sz w:val="17"/>
          <w:szCs w:val="17"/>
          <w:b w:val="1"/>
          <w:bCs w:val="1"/>
          <w:color w:val="auto"/>
        </w:rPr>
      </w:pPr>
    </w:p>
    <w:p>
      <w:pPr>
        <w:ind w:left="660" w:right="740"/>
        <w:spacing w:after="0" w:line="275" w:lineRule="auto"/>
        <w:rPr>
          <w:rFonts w:ascii="Arial" w:cs="Arial" w:eastAsia="Arial" w:hAnsi="Arial"/>
          <w:sz w:val="17"/>
          <w:szCs w:val="17"/>
          <w:b w:val="1"/>
          <w:bCs w:val="1"/>
          <w:color w:val="auto"/>
        </w:rPr>
      </w:pPr>
      <w:r>
        <w:rPr>
          <w:rFonts w:ascii="Arial" w:cs="Arial" w:eastAsia="Arial" w:hAnsi="Arial"/>
          <w:sz w:val="18"/>
          <w:szCs w:val="18"/>
          <w:color w:val="auto"/>
        </w:rPr>
        <w:t>The number of revenue-generating professionals within our Commercial segment grew 16.2% to 1,414 as of June 30, 2023, compared to 1,217 as of June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second quarter of 2023 increased $63.4 million, or 25.2%, over the second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235,198</w:t>
            </w: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67.8%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45,965</w:t>
            </w:r>
          </w:p>
        </w:tc>
      </w:tr>
      <w:tr>
        <w:trPr>
          <w:trHeight w:val="23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8,121</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64,019</w:t>
            </w: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315,180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90.9%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92.1%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63,367</w:t>
            </w:r>
          </w:p>
        </w:tc>
      </w:tr>
      <w:tr>
        <w:trPr>
          <w:trHeight w:val="21"/>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Direct costs increased $46.0 million, or 24.3%, to $235.2 million for the second quarter of 2023 from $189.2 million for the second quarter of 2022. The $46.0 million increase primarily related to a $41.2 million increase in compensation costs for our revenue-generating professionals as we continue to invest in and grow our talented team to meet increased market demand. Specifically, the increase in compensation costs is primarily attributable to a $25.2 million increase in salaries and related expenses driven by increased headcount and annual salary increases that went into effect in the first quarter of 2023, a $14.4 million increase in performance bonus expense, and a $2.1 million increase in share-based compensation expense. Additional increases in direct costs include a $1.7 million increase in project costs and a $1.5 million increase in technology costs. As a percentage of revenues, direct costs decreased to 67.8% during the second quarter of 2023, compared to 69.2% during the second quarter of 2022, primarily due to revenue growth that outpaced the increases in compensation costs for our revenue-generating professionals and contractor expenses; partially offset by the increase in project costs, as a percentage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Selling, general and administrative expenses increased by $18.0 million, or 39.1%, to $64.0 million in the second quarter of 2023 from $46.0 million in the second quarter of 2022. The $18.0 million increase primarily related to a $ 14.7 million increase in compensation costs for our support personnel, driven by a $6.3 million increase in deferred compensation expense attributable to the change in market value of our deferred compensation liability, a $4.2 million increase in salaries and related expenses, a $2.7 million increase in performance bonus expense, and a $1.6 million increase in share-based compensation expense. The increase in deferred compensation expense is offset by an increase in the gain recognized for the change in the market value of investments that are used to fund our deferred compensation liability and recognized in other income, net. Additionally, selling, general and administrative expenses increased by $3.2 million for non-payroll costs, which includes a $0.9 million increase in software and data hosting expenses and a $0.8 million increase in promotion and marketing expenses. As a percentage of revenues, selling, general and administrative expenses increased to 18.5% during the second quarter of 2023, compared to 16.8% during the second quarter of 2022. This increase was primarily attributable to an increase in deferred compensation expense, as a percentage of revenues; partially offset by revenue growth that outpaced the increase in salaries and related expenses for our support personnel.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Restructuring charges for the second quarter of 2023 were $1.7 million, compared to $2.1 million for the second quarter of 2022. The $1.7 million of restructuring charges recognized in the second quarter of 2023 included $0.9 million of employee-related expenses; $0.3 million related to the abandonment of a capitalized software development project; $0.2 million of rent and related expenses, net of sublease income, for previously vacated office spaces; and $0.2 million related to non-cash lease impairment charges driven by updated sublease assumptions for previously vacated office spaces.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$2.1 million of restructuring charges recognized in the second quarter of 2022 included $1.1 million of employee-related expenses;</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$0.4 million of rent and related expenses, net of sublease income, for previously vacated office spaces; $0.5 million for third-party transaction expenses related to the modification of our operating model; and $0.1 million related to the divestiture of our Life Sciences business in the fourth quarter of 2021.</w:t>
      </w:r>
    </w:p>
    <w:p>
      <w:pPr>
        <w:sectPr>
          <w:pgSz w:w="11900" w:h="16838" w:orient="portrait"/>
          <w:cols w:equalWidth="0" w:num="1">
            <w:col w:w="11240"/>
          </w:cols>
          <w:pgMar w:left="320" w:top="125" w:right="339" w:bottom="1088"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88"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81"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Depreciation and amortization expense decreased $0.8 million, or 11.0%, to $6.1 million in the second quarter of 2023, compared to $6.9 million in the second quarter of 2022. The $0.8 million decrease in depreciation and amortization expense was primarily attributable to intangible assets acquired in business acquisitions that were fully amortized in prior periods and a decrease in amortization of intangible assets acquired in business acquisitions due to the accelerated basis of amortization in prior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Operating income increased $10.7 million, or 36.9%, to $ 39.7 million in the second quarter of 2023 from $29.0 million in the second quarter of 2022. Operating margin, which is defined as operating income expressed as a percentage of revenues, increased to 11.5% for the three months ended June 30, 2023, compared to 10.6% for the three months ended June 30, 2022.</w:t>
      </w:r>
    </w:p>
    <w:p>
      <w:pPr>
        <w:spacing w:after="0" w:line="13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 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49,151</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r>
      <w:tr>
        <w:trPr>
          <w:trHeight w:val="22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27,397</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21,691</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5,706</w:t>
            </w:r>
          </w:p>
        </w:tc>
      </w:tr>
      <w:tr>
        <w:trPr>
          <w:trHeight w:val="24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87,020</w:t>
            </w:r>
          </w:p>
        </w:tc>
        <w:tc>
          <w:tcPr>
            <w:tcW w:w="144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63,970</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23,050</w:t>
            </w:r>
          </w:p>
        </w:tc>
      </w:tr>
      <w:tr>
        <w:trPr>
          <w:trHeight w:val="21"/>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right="40" w:hanging="328"/>
        <w:spacing w:after="0" w:line="256" w:lineRule="auto"/>
        <w:tabs>
          <w:tab w:leader="none" w:pos="671"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$18.8 million, or 61.9%, primarily due to the increase in revenues, partially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in compensation costs for our revenue-generating professionals, contractor expenses, compensation costs for our support personnel, and project costs. The increases in compensation costs for our revenue-generating professionals and support personnel were primarily driven by an increase in headcount, annual salary increases that went into effect in the first quarter of 2023, and an increase in performance bonus expense. Healthcare operating margin increased to 28.3% from 23.6% primarily due to the revenue growth that outpaced the increase in compensation costs for our revenue-generating professionals; partially offset by increases in contractor expenses and project costs, as percentages of revenues.</w:t>
      </w:r>
    </w:p>
    <w:p>
      <w:pPr>
        <w:spacing w:after="0" w:line="128" w:lineRule="exact"/>
        <w:rPr>
          <w:rFonts w:ascii="Arial" w:cs="Arial" w:eastAsia="Arial" w:hAnsi="Arial"/>
          <w:sz w:val="18"/>
          <w:szCs w:val="18"/>
          <w:b w:val="1"/>
          <w:bCs w:val="1"/>
          <w:i w:val="1"/>
          <w:iCs w:val="1"/>
          <w:color w:val="auto"/>
        </w:rPr>
      </w:pPr>
    </w:p>
    <w:p>
      <w:pPr>
        <w:ind w:left="660" w:right="120" w:hanging="328"/>
        <w:spacing w:after="0" w:line="271" w:lineRule="auto"/>
        <w:tabs>
          <w:tab w:leader="none" w:pos="671"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operating income increased $5.7 million, or 26.3%, primarily due to the increase in revenues as well as a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expenses, partially offset by increases in compensation costs for our revenue-generating professionals and technology expenses. The increase in compensation costs was primarily driven by an increase in headcount, annual salary increases that went into effect in the first quarter of 2023, and an increase in performance bonus expense. Education operating margin increased to</w:t>
      </w:r>
    </w:p>
    <w:p>
      <w:pPr>
        <w:spacing w:after="0" w:line="3" w:lineRule="exact"/>
        <w:rPr>
          <w:rFonts w:ascii="Arial" w:cs="Arial" w:eastAsia="Arial" w:hAnsi="Arial"/>
          <w:sz w:val="17"/>
          <w:szCs w:val="17"/>
          <w:b w:val="1"/>
          <w:bCs w:val="1"/>
          <w:i w:val="1"/>
          <w:iCs w:val="1"/>
          <w:color w:val="auto"/>
        </w:rPr>
      </w:pPr>
    </w:p>
    <w:p>
      <w:pPr>
        <w:ind w:left="660" w:right="40"/>
        <w:spacing w:after="0" w:line="261" w:lineRule="auto"/>
        <w:rPr>
          <w:rFonts w:ascii="Arial" w:cs="Arial" w:eastAsia="Arial" w:hAnsi="Arial"/>
          <w:sz w:val="17"/>
          <w:szCs w:val="17"/>
          <w:b w:val="1"/>
          <w:bCs w:val="1"/>
          <w:i w:val="1"/>
          <w:iCs w:val="1"/>
          <w:color w:val="auto"/>
        </w:rPr>
      </w:pPr>
      <w:r>
        <w:rPr>
          <w:rFonts w:ascii="Arial" w:cs="Arial" w:eastAsia="Arial" w:hAnsi="Arial"/>
          <w:sz w:val="18"/>
          <w:szCs w:val="18"/>
          <w:color w:val="auto"/>
        </w:rPr>
        <w:t>24.8% from 24.6% primarily driven by the decrease in contractor expenses; largely offset by increases in compensation costs for our revenue-generating professionals and technology expenses, as percentages of revenue.</w:t>
      </w:r>
    </w:p>
    <w:p>
      <w:pPr>
        <w:spacing w:after="0" w:line="121" w:lineRule="exact"/>
        <w:rPr>
          <w:rFonts w:ascii="Arial" w:cs="Arial" w:eastAsia="Arial" w:hAnsi="Arial"/>
          <w:sz w:val="17"/>
          <w:szCs w:val="17"/>
          <w:b w:val="1"/>
          <w:bCs w:val="1"/>
          <w:i w:val="1"/>
          <w:iCs w:val="1"/>
          <w:color w:val="auto"/>
        </w:rPr>
      </w:pPr>
    </w:p>
    <w:p>
      <w:pPr>
        <w:ind w:left="660" w:right="80" w:hanging="328"/>
        <w:spacing w:after="0" w:line="255" w:lineRule="auto"/>
        <w:tabs>
          <w:tab w:leader="none" w:pos="671"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decreased $1.4 million, or 12.1%, primarily due to increases in compensation costs for our revenue-generating professionals, largely offset by an increase in revenues. The increase in compensation costs for our revenue-generating professionals was primarily related to an increase in performance bonus expense, an increase in headcount, and annual salary increases that went into effect in the first quarter of 2023. The increase in performance bonus expense primarily reflects an increase in the performance bonus adjustment recorded in the second quarter of 2023 compared to the second quarter of 2022 to adjust our year-to-date performance bonus accrual to reflect the revised full-year forecasts. Commercial operating margin decreased to 16.8% from 21.0% primarily driven by the increase in compensation costs for our revenue-generating professionals,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Interest expense, net of interest income increased $3.4 million to $5.8 million in the second quarter of 2023 from $2.4 million in the second quarter of 2022, which was primarily attributable to higher interest rates and higher levels of borrowing under our credit facility during the second quarter of 2023 compared to the second quarter of 2022. See “Liquidity and Capital Resources” below and Note 6 “Financing Arrangements” within the notes to our consolidated financial statements for additional information about our senior secured credit facility.</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income (expense), net increased $5.9 million to income of $1.1 million in the second quarter of 2023 from expense of $4.9 million in the second quarter of 2022. The increase in other income, net was primarily attributable to the $6.4 million increase in the gain recognized for the market value of our investments that are used to fund our deferred compensation liability, partially offset by a $0.4 million increase in foreign currency transaction losses. During the second quarter of 2023, we recognized a $1.3 million gain for the market value of our deferred compensation investments compared to a $5.0 million loss recognized in the second quarter of 2022.</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the three months ended June 30, 2023, our effective tax rate was 29.4% as we recognized income tax expense of $10.3 million on income of $35.0 million. The effective tax rate of 29.4% was less favorable than the statutory rate, inclusive of state income taxes, of 26.6% primarily due to certain nondeductible expense items. These unfavorable items were partially offset by a tax benefit related to non-taxable gains on our investments used to fund our deferred compensation liability.</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For the three months ended June 30, 2022, our effective tax rate was 36.0% as we recognized income tax expense of $7.8 million on income of $21.7 million. The effective tax rate of 36.0%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8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Net income increased $10.8 million to $24.7 million for the three months ended June 30, 2023 from $13.9 million for the same period last year. As a result of the increase in net income, diluted earnings per share for the second quarter of 2023 was $1.27 compared to $0.66 for the second quarter of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EBITDA increased $15.9 million to $47.1 million for the second quarter of 2023 from $31.2 million for the second quarter of 2022. The increase in EBITDA was primarily attributable to the increase in segment operating income, offset by the increase in corporate expenses, excluding the impact of the change in the market value of our deferred compensation liability.</w:t>
      </w:r>
    </w:p>
    <w:p>
      <w:pPr>
        <w:spacing w:after="0" w:line="1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Adjusted EBITDA increased $15.3 million to $48.5 million in the second quarter of 2023 from $33.2 million in the second quarter of 2022.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and corporate restructuring charges.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Adjusted net income increased $ 9.5 million to $27.0 million in the second quarter of 2023, compared to $17.5 million in the second quarter of 2022. As a result of the increase in adjusted net income, adjusted diluted earnings per share was $1.38 for the second quarter of 2023, compared to $0.83 for the second quarter of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six months ended June 30, 2023 and 2022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322,817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250,350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3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214,841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126,996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57"/>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664,654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533,374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374,449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298,455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75,994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290,205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234,919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36"/>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664,654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533,374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131,280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Revenues increased $131.3 million, or 24.6%, to $664.7 million for the first six months of 2023 from $ 533.4 million for the first six months of 2022. The overall increase in revenues reflects continued strength in demand for both our Consulting and Managed Services capability and Digital capability across all segments, which reflects our focus on accelerating growth in our healthcare and education industries and growing our presence in commercial industries. Additional information on our revenues by segment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57" w:lineRule="auto"/>
        <w:tabs>
          <w:tab w:leader="none" w:pos="67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$72.5 million, or 28.9%, primarily driven by strong results in our performance improvement 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due to strengthened demand and exceeding performance expectations on certain performance-based arrangements. The increase in Healthcare revenues was also attributable to strengthened demand for our financial advisory and revenue cycle managed services solutions within our Consulting and Managed Services capability and our technology and analytics services within our Digital capability. Revenues in the first six months of 2023 included $0.6 million of incremental revenues from our acquisition of Customer Evolution, LLC, which was completed in December 2022.</w:t>
      </w:r>
    </w:p>
    <w:p>
      <w:pPr>
        <w:spacing w:after="0" w:line="138" w:lineRule="exact"/>
        <w:rPr>
          <w:rFonts w:ascii="Arial" w:cs="Arial" w:eastAsia="Arial" w:hAnsi="Arial"/>
          <w:sz w:val="18"/>
          <w:szCs w:val="18"/>
          <w:b w:val="1"/>
          <w:bCs w:val="1"/>
          <w:color w:val="auto"/>
        </w:rPr>
      </w:pPr>
    </w:p>
    <w:p>
      <w:pPr>
        <w:ind w:left="660" w:right="84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27.2% to 2,059 as of June 30, 2023, compared to 1,619 as of June 30, 2022.</w:t>
      </w:r>
    </w:p>
    <w:p>
      <w:pPr>
        <w:spacing w:after="0" w:line="109" w:lineRule="exact"/>
        <w:rPr>
          <w:rFonts w:ascii="Arial" w:cs="Arial" w:eastAsia="Arial" w:hAnsi="Arial"/>
          <w:sz w:val="18"/>
          <w:szCs w:val="18"/>
          <w:b w:val="1"/>
          <w:bCs w:val="1"/>
          <w:color w:val="auto"/>
        </w:rPr>
      </w:pPr>
    </w:p>
    <w:p>
      <w:pPr>
        <w:ind w:left="660" w:right="280" w:hanging="328"/>
        <w:spacing w:after="0" w:line="268" w:lineRule="auto"/>
        <w:tabs>
          <w:tab w:leader="none" w:pos="67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$46.0 million, or 27.2%,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products within our Digital capability, as well as strengthened demand for our strategy and operations and research solutions within our Consulting and Managed Services capability.</w:t>
      </w:r>
    </w:p>
    <w:p>
      <w:pPr>
        <w:spacing w:after="0" w:line="126" w:lineRule="exact"/>
        <w:rPr>
          <w:rFonts w:ascii="Arial" w:cs="Arial" w:eastAsia="Arial" w:hAnsi="Arial"/>
          <w:sz w:val="18"/>
          <w:szCs w:val="18"/>
          <w:b w:val="1"/>
          <w:bCs w:val="1"/>
          <w:color w:val="auto"/>
        </w:rPr>
      </w:pPr>
    </w:p>
    <w:p>
      <w:pPr>
        <w:ind w:left="660" w:right="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grew 20.9% to 1,701 as of June 30, 2023, compared to 1,407 as of June 30, 2022.</w:t>
      </w:r>
    </w:p>
    <w:p>
      <w:pPr>
        <w:spacing w:after="0" w:line="109" w:lineRule="exact"/>
        <w:rPr>
          <w:rFonts w:ascii="Arial" w:cs="Arial" w:eastAsia="Arial" w:hAnsi="Arial"/>
          <w:sz w:val="18"/>
          <w:szCs w:val="18"/>
          <w:b w:val="1"/>
          <w:bCs w:val="1"/>
          <w:color w:val="auto"/>
        </w:rPr>
      </w:pPr>
    </w:p>
    <w:p>
      <w:pPr>
        <w:ind w:left="660" w:right="160" w:hanging="328"/>
        <w:spacing w:after="0" w:line="291" w:lineRule="auto"/>
        <w:tabs>
          <w:tab w:leader="none" w:pos="671"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revenues increased $12.9 million, or 11.3%, driven by strengthened demand for our financial advisory solutions within</w:t>
      </w:r>
      <w:r>
        <w:rPr>
          <w:rFonts w:ascii="Arial" w:cs="Arial" w:eastAsia="Arial" w:hAnsi="Arial"/>
          <w:sz w:val="17"/>
          <w:szCs w:val="17"/>
          <w:b w:val="1"/>
          <w:bCs w:val="1"/>
          <w:color w:val="auto"/>
        </w:rPr>
        <w:t xml:space="preserve"> </w:t>
      </w:r>
      <w:r>
        <w:rPr>
          <w:rFonts w:ascii="Arial" w:cs="Arial" w:eastAsia="Arial" w:hAnsi="Arial"/>
          <w:sz w:val="17"/>
          <w:szCs w:val="17"/>
          <w:color w:val="auto"/>
        </w:rPr>
        <w:t>our Consulting and Managed Services capability and our technology and analytics services within our Digital capability, partially offset by a decrease in demand for our strategy and innovation solution within our Consulting and Managed Services capability.</w:t>
      </w:r>
    </w:p>
    <w:p>
      <w:pPr>
        <w:spacing w:after="0" w:line="109" w:lineRule="exact"/>
        <w:rPr>
          <w:sz w:val="20"/>
          <w:szCs w:val="20"/>
          <w:color w:val="auto"/>
        </w:rPr>
      </w:pPr>
    </w:p>
    <w:p>
      <w:pPr>
        <w:ind w:left="660" w:right="740"/>
        <w:spacing w:after="0" w:line="275" w:lineRule="auto"/>
        <w:rPr>
          <w:sz w:val="20"/>
          <w:szCs w:val="20"/>
          <w:color w:val="auto"/>
        </w:rPr>
      </w:pPr>
      <w:r>
        <w:rPr>
          <w:rFonts w:ascii="Arial" w:cs="Arial" w:eastAsia="Arial" w:hAnsi="Arial"/>
          <w:sz w:val="18"/>
          <w:szCs w:val="18"/>
          <w:color w:val="auto"/>
        </w:rPr>
        <w:t>The number of revenue-generating professionals within our Commercial segment grew 16.2% to 1,414 as of June 30, 2023, compared to 1,217 as of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six months of 2023 increased $122.5 million, or 24.5%, over the first six months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87,101</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4,413</w:t>
            </w: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94,428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31,880</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13,766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6"/>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623,134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93.8%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500,630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93.9%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122,504</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Direct costs increased $87.1 million, or 23.1%, to $463.6 million for the first six months of 2023 from $376.5 million for the first six months of 2022. The $87.1 million increase primarily related to a $76.5 million increase in compensation costs for our revenue-generating professionals as we continue to invest in and grow our talented team to meet increased market demand. Specifically, the increase in compensation costs is primarily attributable to a $50.3 million increase in salaries and related expenses driven by increased headcount and annual salary increases that went into effect in the first quarter of 2023, a $23.0 million increase in performance bonus expense, and a $3.6 million increase in share-based compensation expense. Additional increases in direct costs include a $3.3 million increase in contractor expenses, a $2.7 million increase in technology costs, and a $2.4 million increase in project costs. As a percentage of revenues, direct costs decreased to 69.7% during the first six months of 2023, compared to 70.6% during the first six months of 2022, primarily due to revenue growth that outpaced the increase in compensation costs for our revenue-generating professionals; partially offset by the increase in project costs, as a percentage of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Selling, general and administrative expenses increased by $31.9 million, or 33.8%, to $126.3 million in the first six months of 2023 from $94.4 million in the first six months of 2022. The $ 31.9 million increase primarily related to a $23.3 million increase in compensation costs for our support personnel driven by a $10.6 million increase in deferred compensation expense attributable to the change in market value of our deferred compensation liability, a $6.0 million increase in salaries and related expenses, a $3.3 million increase in performance bonus expense, and a $3.2 million increase in share-based compensation expense. The increase in deferred compensation expense is offset by an increase in the gain recognized for the change in the market value of investments that are used to fund our deferred compensation liability and recognized in other income, net. Additionally, selling, general and administrative expenses increased $8.5 million for non-payroll costs driven by a $2.7 million increase in promotion and marketing expenses, a $2.4 million increase in practice administration and meetings expenses, a $1.7 million increase in software and data hosting expenses, and a $1.0 million gain recognized in the first quarter of 2022 related to the sale of our aircraft. As a percentage of revenues, selling, general and administrative expenses increased to 19.0% during the first six months of 2023, compared to 17.7% during the first six months of 2022. This increase was primarily attributable to an increase in deferred compensation expense, as a percentage of revenues; partially offset by revenue growth that outpaced the increase in other compensation costs for our support personnel.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first six months of 2023 were $4.0 million, compared to $3.6 million for the first six months of 2022. The $4.0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of restructuring charges incurred in the first six months of 2023 included a $1.9 million non-cash impairment charge on the fixed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and right-of-use operating lease asset related to our office space in Hillsboro Oregon, which we exited in the first quarter of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$0.9 million of employee-related expenses; $0.6 million for rent and related expenses, net of sublease income, for previously vacated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spaces; $0.3 million related to the abandonment of a capitalized software development project; and $0.2 million related to non-cash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driven by updated sublease assumptions for previously vacated office spaces.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$3.6 million of restructuring charges incurred in the first six months of 2022 included $1.6 million of employee-related expenses;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$1.0 million of rent and related expenses, net of sublease income, for previously vacated office spaces; $0.6 million for third-party transaction expenses related to the modification of our operating model; $0.3 million of accelerated amortization of capitalized software implementation costs for a cloud-computing arrangement that is no longer in use; and $0.1 million related to the divestiture of our Life Sciences business in the fourth quarter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decreased $1.2 million, or 9.1%, to $12.5 million for the first six months of 2023, compared to $13.8 million for first six months of 2022. The $1.2 million decrease in depreciation and amortization expense was primarily attributable to intangible assets acquired in business acquisitions that were fully amortized in prior periods and a decrease in the amortization of intangible assets acquired in business acquisitions due to the accelerated basis of amortization in prior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income increased $13.2 million to $58.2 million in the first six months of 2023 from $45.0 million in the first six months of 2022. Operating margin, which is defined as operating income expressed as a percentage of revenues, increased to 8.7% for the first six months of 2023, compared to 8.4% for the first six months of 2022.</w:t>
      </w:r>
    </w:p>
    <w:p>
      <w:pPr>
        <w:spacing w:after="0" w:line="13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23,010</w:t>
            </w:r>
          </w:p>
        </w:tc>
      </w:tr>
      <w:tr>
        <w:trPr>
          <w:trHeight w:val="22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50,562</w:t>
            </w:r>
          </w:p>
        </w:tc>
        <w:tc>
          <w:tcPr>
            <w:tcW w:w="30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35,997</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14,565</w:t>
            </w:r>
          </w:p>
        </w:tc>
      </w:tr>
      <w:tr>
        <w:trPr>
          <w:trHeight w:val="24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156,507</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118,522</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37,985</w:t>
            </w:r>
          </w:p>
        </w:tc>
      </w:tr>
      <w:tr>
        <w:trPr>
          <w:trHeight w:val="21"/>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328"/>
        <w:spacing w:after="0" w:line="274" w:lineRule="auto"/>
        <w:tabs>
          <w:tab w:leader="none" w:pos="671"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Healthcare </w:t>
      </w:r>
      <w:r>
        <w:rPr>
          <w:rFonts w:ascii="Arial" w:cs="Arial" w:eastAsia="Arial" w:hAnsi="Arial"/>
          <w:sz w:val="17"/>
          <w:szCs w:val="17"/>
          <w:color w:val="auto"/>
        </w:rPr>
        <w:t>operating income increased $23.0 million, or 39.4%, primarily due to the increase in revenues, partially offset by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increases in compensation costs for our revenue-generating professionals, contractor expenses, compensation costs for our support personnel, and project costs. The increases in compensation costs for our revenue-generating professionals and support personnel were primarily driven by an increase in headcount, annual salary increases that went into effect in the first quarter of 2023, an increase in performance bonus expense, and an increase in share-based compensation expense. Healthcare operating margin increased to 25.2% from 23.3% primarily due to the revenue growth that outpaced the increase in compensation costs for our revenue-generating professionals; partially offset by increases in contractor expenses and project costs, as percentages of revenues.</w:t>
      </w:r>
    </w:p>
    <w:p>
      <w:pPr>
        <w:sectPr>
          <w:pgSz w:w="11900" w:h="16838" w:orient="portrait"/>
          <w:cols w:equalWidth="0" w:num="1">
            <w:col w:w="11240"/>
          </w:cols>
          <w:pgMar w:left="320" w:top="125" w:right="339" w:bottom="1034"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34"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100" w:hanging="328"/>
        <w:spacing w:after="0" w:line="257" w:lineRule="auto"/>
        <w:tabs>
          <w:tab w:leader="none" w:pos="671"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$14.6 million, or 40.5%, primarily due to the increase in revenues as well as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expenses, partially offset by increases in compensation costs for our revenue-generating professionals, technology expenses, and promotion and marketing expenses. The increase in compensation costs was primarily driven by an increase in headcount, annual salary increases that went into effect in the first quarter of 2023, and an increase in performance bonus expense. Education operating margin increased to 23.5% from 21.3% primarily driven by the decrease in contractor expenses; partially offset by an increase in technology expenses, as a percentage of revenues.</w:t>
      </w:r>
    </w:p>
    <w:p>
      <w:pPr>
        <w:spacing w:after="0" w:line="128" w:lineRule="exact"/>
        <w:rPr>
          <w:rFonts w:ascii="Arial" w:cs="Arial" w:eastAsia="Arial" w:hAnsi="Arial"/>
          <w:sz w:val="18"/>
          <w:szCs w:val="18"/>
          <w:b w:val="1"/>
          <w:bCs w:val="1"/>
          <w:i w:val="1"/>
          <w:iCs w:val="1"/>
          <w:color w:val="auto"/>
        </w:rPr>
      </w:pPr>
    </w:p>
    <w:p>
      <w:pPr>
        <w:ind w:left="660" w:hanging="328"/>
        <w:spacing w:after="0" w:line="255" w:lineRule="auto"/>
        <w:tabs>
          <w:tab w:leader="none" w:pos="671"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$0.4 million, or 1.7%, primarily due to the increase in revenues, largely offset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compensation costs for our revenue-generating professionals. The increase in compensation costs was primarily driven by an increase in headcount, annual salary increases that went into effect in the first quarter of 2023, and an increase in performance bonus expense. The increase in performance bonus expense primarily reflects an increase in the performance bonus adjustment recorded in the first six months of 2023 compared to the first six months of 2022 to adjust our year-to-date performance bonus accrual to reflect the revised full year forecasts. Commercial operating margin decreased to 19.3% from 21.1% primarily driven by an increase in compensation costs for our revenue-generating professionals, as a percentage of revenues; partially offset by a decrease in compensation costs for our support personnel.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Interest expense, net of interest income increased $5.5 million to $10.1 million in the first six months of 2023 from $4.6 million in the first six months of 2022, which was primarily attributable to higher interest rates and higher levels of borrowing under our credit facility during the first six months of 2023 compared to the first six months of 2022. See “Liquidity and Capital Resources” below and Note 6 “Financing Arrangements” within the notes to our consolidated financial statements for additional information about our senior secured credit facility.</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income, net decreased $16.7 million to $2.8 million in the first six months of 2023 from $19.5 million in the first six months of 2022. The decrease in other income, net was primarily attributable to a $27.0 million unrealized gain recognized in the first quarter of 2022 related to the increase in the fair value of our preferred stock investment in Medically Home. See Note 9 “Fair Value of Financial Instruments” within the notes to our consolidated financial statements for additional information on our preferred stock investment in Medically Home. This decrease in other income, net was partially offset by a $10.7 million increase in the gain recognized for the market value of our investments that are used to fund our deferred compensation liability. During the first six months of 2023, we recognized a $3.1 million gain for the market value of our deferred compensation investments compared to a $7.6 million loss recognized in the first six months of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six months ended June 30, 2023, our effective tax rate was 25.0% as we recognized income tax expense of $12.7 million on income of $50.8 million. The effective tax rate of 25.0% was more favorable than the statutory rate, inclusive of state income taxes, of 26.6% primarily due to a discrete tax benefit for share-based compensation awards that vested during the first quarter of 2023 and a tax benefit related to non-taxable gains on our investments used to fund our deferred compensation liability. These favorable items were partially offset by certain nondeductible expense items.</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the six months ended June 30, 2022, our effective tax rate was 31.9% as we recognized income tax expense of $19.1 million on income of $59.8 million. The effective tax rate of 31.9%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81"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Net income decreased $2.6 million to $38.1 million for the six months ended June 30, 2023 from $40.7 million for the same period last year. Diluted earnings per share for the six months ended June 30, 2023 slightly increased to $1.95 compared to $1.94 for the six months ended June 30, 2022 primarily due to a reduction in diluted shares outstanding resulting from the share repurchases completed subsequent to the second quarter of 2022, partially offset by the decrease in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EBITDA decreased $4.9 million to $73.8 million for the six months ended June 30, 2023 from $78.7 million for the six months ended June 30, 2022. The decrease in EBITDA was primarily attributable to the $27.0 million unrealized gain recognized in the first quarter of 2022 related to the increase in the fair value of our preferred stock investment; as well as the increase in corporate expenses, excluding the impact of the change in the market value of our deferred compensation liability. These decreases to EBITDA were largely offset by the increase in segment operating income.</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Adjusted EBITDA increased $22.7 million to $78.0 million in the first six months of 2023 from $55.3 million in the first six months of 2022.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and corporate restructuring charges.</w:t>
      </w:r>
    </w:p>
    <w:p>
      <w:pPr>
        <w:sectPr>
          <w:pgSz w:w="11900" w:h="16838" w:orient="portrait"/>
          <w:cols w:equalWidth="0" w:num="1">
            <w:col w:w="11240"/>
          </w:cols>
          <w:pgMar w:left="320" w:top="125" w:right="339" w:bottom="1047"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47"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Adjusted net income increased $ 16.2 million to $44.0 million in the first six months of 2023 compared to $27.8 million in the first six months of 2022. As a result of the increase in adjusted net income, adjusted diluted earnings per share was $2.25 for the six months ended June 30, 2023, compared to $1.32 for the six months ended June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were $ 16.6 million and $11.8 million at June 30, 2023 and December 31, 2022, respectively. As of June 30, 2023, our primary sources of liquidity are cash on hand, cash flows from our U.S. operations, and borrowing capacity available under our credit facility.</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23"/>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(50,236)</w:t>
            </w:r>
          </w:p>
        </w:tc>
      </w:tr>
      <w:tr>
        <w:trPr>
          <w:trHeight w:val="236"/>
        </w:trPr>
        <w:tc>
          <w:tcPr>
            <w:tcW w:w="864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(7,608)</w:t>
            </w:r>
          </w:p>
        </w:tc>
      </w:tr>
      <w:tr>
        <w:trPr>
          <w:trHeight w:val="236"/>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w:t>
            </w:r>
          </w:p>
        </w:tc>
      </w:tr>
      <w:tr>
        <w:trPr>
          <w:trHeight w:val="230"/>
        </w:trPr>
        <w:tc>
          <w:tcPr>
            <w:tcW w:w="8640" w:type="dxa"/>
            <w:vAlign w:val="bottom"/>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operating activities decreased $36.4 million to $13.9 million for the six months ended June 30, 2023 from $50.2 million for the six months ended June 30, 2022. The decrease in net cash used in operating activities was primarily related to an increase in cash collections in the first six months of 2023 compared to the same prior year period; partially offset by an increase in salaries and related expenses for our revenue-generating professionals, an increase in payments for selling, general and administrative expenses for the first six months of 2023 compared to the same prior year period, and an increase in the amount paid for annual performance bonuses in the first quarter of 2023 compared to the first quarter of 2022.</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Additionally, for the first six months of 2023, our unbilled receivables increased, partially driven by certain large Healthcare and Education engagements where our services performed and revenue recognized exceeded the amounts billed to clients in accordance with the contractual billing terms. We expect to bill and collect for these services in the second half of 2023. In the future, we may enter into additional client engagements with similar deferred billing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Medically Home Group, Inc., and investments in life insurance policies that are used to fund our deferred compensation liability.</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used by investing activities was $15.8 million for the six months ended June 30, 2023 which primarily consisted of $13.0 million for payments related to internally developed software to advance our Healthcare and Education software products; $3.7 million for purchases of property and equipment, primarily related to purchases of computers and related equipment; and $2.2 million for contributions to our life insurance policies. These uses of cash for investing activities were partially offset by $3.0 million of cash received for distributions from our life insurance policies that are used to fund our deferred compensation liability.</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used by investing activities was $7.6 million for the six months ended June 30, 2022 which primarily consisted of $6.8 million for purchases of property and equipment, primarily related to purchases of computers and related equipment and leasehold improvements and furniture for certain office spaces; $4.0 million for payments related to internally developed software; and $1.9 million for the purchase of a business. These uses of cash for investing activities were partially offset by $4.8 million of cash received for the sale of our aircraft in the first quarter of 2022.</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2023 will total approximately $35 million to $40 million; primarily consisting of software development costs, information technology related equipment to support our corporate infrastructure, and leasehold improvements and furniture and fixtures for certain office locations.</w:t>
      </w:r>
    </w:p>
    <w:p>
      <w:pPr>
        <w:sectPr>
          <w:pgSz w:w="11900" w:h="16838" w:orient="portrait"/>
          <w:cols w:equalWidth="0" w:num="1">
            <w:col w:w="11220"/>
          </w:cols>
          <w:pgMar w:left="320" w:top="125" w:right="359" w:bottom="588"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588"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3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cash provided by financing activities was $34.3 million for the six months ended June 30, 2023. During the six months ended June 30, 2023, we borrowed $230.0 million primarily to fund our operations, including our annual performance bonus payment in the first quarter of 2023, and made repayments on our borrowings of $125.0 million. Additionally, during the first six months of 2023, we paid $ 60.4 million for share repurchases, including $1.1 million related to the settlement of share repurchases that were accrued as of December 31, 2022, and reacquired $9.7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w:t>
      </w:r>
    </w:p>
    <w:p>
      <w:pPr>
        <w:spacing w:after="0" w:line="14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cash provided by financing activities was $49.1 million for the six months ended June 30, 2022. During the six months ended June 30, 2022, we borrowed $224.0 million under our credit facility primarily to fund our operations, including our annual performance bonus payment in the first quarter of 2022, and made repayments on our borrowings of $114.8 million. The repayments on our borrowings included the repayment of the outstanding principal of our promissory note due 2024 of $ 2.7 million from the proceeds received for the sale of our aircraft. Additionally, during the first six months of 2022, we repurchased and retired $52.2 million of our common stock under our share repurchase program, and settled $0.2 million of share repurchases that were accrued as of December 31, 2021. In the first half of 2022, we reacquired $7.0 million of common stock as a result of tax withholdings upon vesting of share-based compensation. We also made deferred acquisition payments of $1.9 million to the sellers of certain businesses we acquired. These payments were primarily the result of achieving specified financial performance targets in accordance with the related purchase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June 30, 2023, $49.6 million remained available for share repurchases under our share repurchase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had $395.0 million outstanding under our senior secured credit facility, as discussed below.</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 $600 million five-year senior secured revolving credit facility, subject to the terms of a Third Amended and Restated Credit Agreement dated as of November 15, 2022 (as amended,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 Fees and interest on borrowings are paid on a monthly basis.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2023, the Company and PNC Capital Markets, LLC, as Sustainability Structuring Agent, with the consent of the Required Lenders (as defined in the Amended Credit Agreement), entered into the first amendment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w:t>
      </w:r>
    </w:p>
    <w:p>
      <w:pPr>
        <w:sectPr>
          <w:pgSz w:w="11900" w:h="16838" w:orient="portrait"/>
          <w:cols w:equalWidth="0" w:num="1">
            <w:col w:w="11240"/>
          </w:cols>
          <w:pgMar w:left="320" w:top="125" w:right="339" w:bottom="561"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561"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Credit Agreement). In addition, we have the right to permanently reduce or terminate the unused portion of the commitments provided under the Amended Credit Agreement at any time.</w:t>
      </w:r>
    </w:p>
    <w:p>
      <w:pPr>
        <w:spacing w:after="0" w:line="1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40" w:firstLine="8"/>
        <w:spacing w:after="0" w:line="251" w:lineRule="auto"/>
        <w:tabs>
          <w:tab w:leader="none" w:pos="2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2023 and December 31, 2022, we were in compliance with these financial covenants. Our Consolidated Leverage Ratio as of June 30, 2023 was 2.17 to 1.00, compared to 1.92 to 1.00 as of December 31, 2022. Our Consolidated Interest Coverage Ratio as of June 30, 2023 was 11.23 to 1.00, compared to 14.04 to 1.00 as of December 31, 2022.</w:t>
      </w:r>
    </w:p>
    <w:p>
      <w:pPr>
        <w:spacing w:after="0" w:line="145" w:lineRule="exact"/>
        <w:rPr>
          <w:sz w:val="20"/>
          <w:szCs w:val="20"/>
          <w:color w:val="auto"/>
        </w:rPr>
      </w:pPr>
    </w:p>
    <w:p>
      <w:pPr>
        <w:jc w:val="both"/>
        <w:ind w:right="200"/>
        <w:spacing w:after="0" w:line="285"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Principal borrowings outstanding under the Amended Credit Agreement at June 30, 2023 and December 31, 2022 totaled $ 395.0 million and $290.0 million, respectively. These borrowings carried a weighted average interest rate of 4.6% at June 30, 2023 and 3.8% at December 31, 2022, including the impact of the interest rate swaps described in Note 8 “Derivative Instruments and Hedging Activity” within the notes to the consolidated financial statements. The borrowing capacity under the revolving credit facility is reduced by any outstanding borrowings under the revolving credit facility and outstanding letters of credit. At June 30, 2023, we had outstanding letters of credit totaling $0.7 million, which are used as security deposits for our office facilities. As of June 30, 2023, the unused borrowing capacity under the revolving credit facility was $204.3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8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primary financing need is to fund our long-term growth. Our growth strategy is to expand our service offerings, which may require investments in new hires, acquisitions of complementary businesses, possible expansion into other geographic areas, and related capital expenditures.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2022. There have been no material changes to our critical accounting policies during the six months ended June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No new accounting pronouncements or changes in accounting pronouncements have been issued or adopted that are material to our consolidated financial statements since those included in our Annual Report on Form 10-K for the year ended December 31, 2022.</w:t>
      </w:r>
    </w:p>
    <w:p>
      <w:pPr>
        <w:sectPr>
          <w:pgSz w:w="11900" w:h="16838" w:orient="portrait"/>
          <w:cols w:equalWidth="0" w:num="1">
            <w:col w:w="11200"/>
          </w:cols>
          <w:pgMar w:left="320" w:top="126" w:right="379" w:bottom="831"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831"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8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have variable interest rates tied to Term SOFR or an alternate base rate, at our option. At June 30, 2023, we had borrowings outstanding under the credit facility totaling $395.0 million that carried a weighted average interest rate of 4.6%, including the impact of the interest rate swaps described below. A hypothetical 100 basis point change in the interest rate would have a $1.5 million effect on our pretax income on an annualized basis, including the effect of the interest rate swaps. At December 31, 2022, we had borrowings outstanding under the credit facility totaling $290.0 million that carried a weighted average interest rate of 3.8% including the impact of the interest rate swaps described below. A hypothetical 100 basis point change in the interest rate would have had a $0.9 million effect on our pretax income on an annualized basis, including the effect of the interest rate swaps.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June 30, 2023 and December 31, 2022, the aggregate notional amount of our forward interest rate swap agreements was $250.0 million and $200.0 million, respectively. The outstanding interest rate swap agreements as of June 30, 2023 are scheduled to mature on a staggered basis through February 29, 2028.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June 30, 2023 and December 31, 2022, the aggregate notional amounts of these contracts were INR 625.1 million, or $7.6 million, and INR 657.9 million, or $8.0 million, respectively, based on the exchange rates in effect as of each period end. The outstanding foreign exchange forward contracts as of June 30, 2023 are scheduled to mature monthly through April 30, 2024.</w:t>
      </w:r>
    </w:p>
    <w:p>
      <w:pPr>
        <w:spacing w:after="0" w:line="1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June 30, 2023 and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8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June 30, 2023, the fair value of the investment was $63.6 million, with a total cost basis of $40.9 million. At December 31, 2022, the fair value of the investment was $57.6 million, with a total cost basis of $40.9 million.</w:t>
      </w:r>
    </w:p>
    <w:p>
      <w:pPr>
        <w:spacing w:after="0" w:line="13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June 30, 2023 and December 31, 2022, the carrying value of the investment was $33.6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8 “Derivative Instruments and Hedging Activity” within the notes to our consolidated financial statements for additional information on our derivative instruments.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2023. Based on this evaluation, our Chief Executive Officer and Chief Financial Officer have concluded that, as of June 30, 2023,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2023 that has materially affected, or is reasonably likely to materially affect, our internal control over financial reporting.</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2022, which was filed with the Securities and Exchange Commission on February 28, 2023, for a complete description of the material risks we face.</w:t>
      </w:r>
    </w:p>
    <w:p>
      <w:pPr>
        <w:spacing w:after="0" w:line="150"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Stock Ownership Participation Program and 2012 Omnibus Incentive Plan permit the netting of common stock upon vesting of restricted stock awards to satisfy individual tax withholding requirements. During the quarter ended June 30, 2023, we reacquired 2,518 shares of common stock with a weighted average fair market value of $80.24 as a result of such tax withholdings.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June 30, 2023, $49.6 million remained available for share repurchases under our share repurchase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2023.</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Average Price</w:t>
            </w: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that may yet be</w:t>
            </w:r>
          </w:p>
        </w:tc>
        <w:tc>
          <w:tcPr>
            <w:tcW w:w="0" w:type="dxa"/>
            <w:vAlign w:val="bottom"/>
          </w:tcPr>
          <w:p>
            <w:pPr>
              <w:spacing w:after="0"/>
              <w:rPr>
                <w:sz w:val="1"/>
                <w:szCs w:val="1"/>
                <w:color w:val="auto"/>
              </w:rPr>
            </w:pPr>
          </w:p>
        </w:tc>
      </w:tr>
      <w:tr>
        <w:trPr>
          <w:trHeight w:val="177"/>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5"/>
                <w:szCs w:val="15"/>
                <w:color w:val="auto"/>
              </w:rPr>
            </w:pPr>
          </w:p>
        </w:tc>
        <w:tc>
          <w:tcPr>
            <w:tcW w:w="15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70"/>
              <w:spacing w:after="0" w:line="241"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64,836,694</w:t>
            </w:r>
          </w:p>
        </w:tc>
        <w:tc>
          <w:tcPr>
            <w:tcW w:w="0" w:type="dxa"/>
            <w:vAlign w:val="bottom"/>
          </w:tcPr>
          <w:p>
            <w:pPr>
              <w:spacing w:after="0"/>
              <w:rPr>
                <w:sz w:val="1"/>
                <w:szCs w:val="1"/>
                <w:color w:val="auto"/>
              </w:rPr>
            </w:pPr>
          </w:p>
        </w:tc>
      </w:tr>
      <w:tr>
        <w:trPr>
          <w:trHeight w:val="236"/>
        </w:trPr>
        <w:tc>
          <w:tcPr>
            <w:tcW w:w="356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193,648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78.64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193,648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49,602,177</w:t>
            </w: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49,602,177</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196,166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78.66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193,648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980" w:right="40" w:hanging="972"/>
        <w:spacing w:after="0" w:line="27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repurchased included 2,518 shares in April 2023 to satisfy employee tax withholding requirements. These shares do not reduce the repurchase authority under the share repurchase program.</w:t>
      </w:r>
    </w:p>
    <w:p>
      <w:pPr>
        <w:spacing w:after="0" w:line="11" w:lineRule="exact"/>
        <w:rPr>
          <w:rFonts w:ascii="Arial" w:cs="Arial" w:eastAsia="Arial" w:hAnsi="Arial"/>
          <w:sz w:val="18"/>
          <w:szCs w:val="18"/>
          <w:color w:val="auto"/>
        </w:rPr>
      </w:pPr>
    </w:p>
    <w:p>
      <w:pPr>
        <w:ind w:left="1020" w:hanging="101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end of the period.</w:t>
      </w:r>
    </w:p>
    <w:p>
      <w:pPr>
        <w:sectPr>
          <w:pgSz w:w="11900" w:h="16838" w:orient="portrait"/>
          <w:cols w:equalWidth="0" w:num="1">
            <w:col w:w="11240"/>
          </w:cols>
          <w:pgMar w:left="320" w:top="126" w:right="339" w:bottom="1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142"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18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by our executive officers and/or directors during the second quarter of 2023, each of which is intended to satisfy the affirmative defense conditions of Rule 10b5-1(c), referred to as Rule 10b5-1 trading plans.</w:t>
      </w: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Date of Rule 10b5-1</w:t>
            </w:r>
          </w:p>
        </w:tc>
        <w:tc>
          <w:tcPr>
            <w:tcW w:w="100" w:type="dxa"/>
            <w:vAlign w:val="bottom"/>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Scheduled Expiration</w:t>
            </w:r>
          </w:p>
        </w:tc>
        <w:tc>
          <w:tcPr>
            <w:tcW w:w="120" w:type="dxa"/>
            <w:vAlign w:val="bottom"/>
          </w:tcPr>
          <w:p>
            <w:pPr>
              <w:spacing w:after="0"/>
              <w:rPr>
                <w:sz w:val="16"/>
                <w:szCs w:val="16"/>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Aggregate Number of</w:t>
            </w:r>
          </w:p>
        </w:tc>
        <w:tc>
          <w:tcPr>
            <w:tcW w:w="0" w:type="dxa"/>
            <w:vAlign w:val="bottom"/>
          </w:tcPr>
          <w:p>
            <w:pPr>
              <w:spacing w:after="0"/>
              <w:rPr>
                <w:sz w:val="1"/>
                <w:szCs w:val="1"/>
                <w:color w:val="auto"/>
              </w:rPr>
            </w:pPr>
          </w:p>
        </w:tc>
      </w:tr>
      <w:tr>
        <w:trPr>
          <w:trHeight w:val="185"/>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Title</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Action</w:t>
            </w:r>
          </w:p>
        </w:tc>
        <w:tc>
          <w:tcPr>
            <w:tcW w:w="1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Date of Rule 10b5-1</w:t>
            </w:r>
          </w:p>
        </w:tc>
        <w:tc>
          <w:tcPr>
            <w:tcW w:w="1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Trading Plan Action</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Plan</w:t>
            </w:r>
          </w:p>
        </w:tc>
        <w:tc>
          <w:tcPr>
            <w:tcW w:w="1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 to be Sold</w:t>
            </w:r>
          </w:p>
        </w:tc>
        <w:tc>
          <w:tcPr>
            <w:tcW w:w="0" w:type="dxa"/>
            <w:vAlign w:val="bottom"/>
          </w:tcPr>
          <w:p>
            <w:pPr>
              <w:spacing w:after="0"/>
              <w:rPr>
                <w:sz w:val="1"/>
                <w:szCs w:val="1"/>
                <w:color w:val="auto"/>
              </w:rPr>
            </w:pPr>
          </w:p>
        </w:tc>
      </w:tr>
      <w:tr>
        <w:trPr>
          <w:trHeight w:val="23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Ekta Singh-Bushell - Director</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Adoption</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5/8/2023</w:t>
            </w:r>
          </w:p>
        </w:tc>
        <w:tc>
          <w:tcPr>
            <w:tcW w:w="20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4/30/2025</w:t>
            </w:r>
          </w:p>
        </w:tc>
        <w:tc>
          <w:tcPr>
            <w:tcW w:w="2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Debra L. Zumwalt - Director</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Adoption</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9"/>
              </w:rPr>
              <w:t>5/9/2023</w:t>
            </w:r>
          </w:p>
        </w:tc>
        <w:tc>
          <w:tcPr>
            <w:tcW w:w="20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4/30/2024</w:t>
            </w:r>
          </w:p>
        </w:tc>
        <w:tc>
          <w:tcPr>
            <w:tcW w:w="2020" w:type="dxa"/>
            <w:vAlign w:val="bottom"/>
            <w:gridSpan w:val="2"/>
          </w:tcPr>
          <w:p>
            <w:pPr>
              <w:jc w:val="center"/>
              <w:ind w:left="3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James H. Roth - Vice Chairman, Client</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Adoption</w:t>
            </w:r>
          </w:p>
        </w:tc>
        <w:tc>
          <w:tcPr>
            <w:tcW w:w="18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5/18/2023</w:t>
            </w:r>
          </w:p>
        </w:tc>
        <w:tc>
          <w:tcPr>
            <w:tcW w:w="200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4/2/2024</w:t>
            </w:r>
          </w:p>
        </w:tc>
        <w:tc>
          <w:tcPr>
            <w:tcW w:w="202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8"/>
              </w:rPr>
              <w:t>42,548</w:t>
            </w: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w:t>
            </w:r>
          </w:p>
        </w:tc>
        <w:tc>
          <w:tcPr>
            <w:tcW w:w="10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880" w:type="dxa"/>
            <w:vAlign w:val="bottom"/>
            <w:gridSpan w:val="2"/>
            <w:vMerge w:val="continue"/>
            <w:shd w:val="clear" w:color="auto" w:fill="CCEEFF"/>
          </w:tcPr>
          <w:p>
            <w:pPr>
              <w:spacing w:after="0"/>
              <w:rPr>
                <w:sz w:val="21"/>
                <w:szCs w:val="21"/>
                <w:color w:val="auto"/>
              </w:rPr>
            </w:pPr>
          </w:p>
        </w:tc>
        <w:tc>
          <w:tcPr>
            <w:tcW w:w="2000" w:type="dxa"/>
            <w:vAlign w:val="bottom"/>
            <w:gridSpan w:val="2"/>
            <w:vMerge w:val="continue"/>
            <w:shd w:val="clear" w:color="auto" w:fill="CCEEFF"/>
          </w:tcPr>
          <w:p>
            <w:pPr>
              <w:spacing w:after="0"/>
              <w:rPr>
                <w:sz w:val="21"/>
                <w:szCs w:val="21"/>
                <w:color w:val="auto"/>
              </w:rPr>
            </w:pPr>
          </w:p>
        </w:tc>
        <w:tc>
          <w:tcPr>
            <w:tcW w:w="2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During the second quarter of 2023, none of our executive officers or directors terminated a Rule 10b5-1 trading plan or adopted or terminated a non-Rule 10b5-1 trading arrangement (as defined in Item 408(c) of Regulation S-K).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line="155"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40" w:type="dxa"/>
            <w:vAlign w:val="bottom"/>
            <w:gridSpan w:val="13"/>
            <w:vMerge w:val="restart"/>
          </w:tcPr>
          <w:p>
            <w:pPr>
              <w:ind w:left="1200"/>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Filed</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Furnished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3"/>
                <w:szCs w:val="13"/>
                <w:color w:val="auto"/>
              </w:rPr>
            </w:pPr>
          </w:p>
        </w:tc>
        <w:tc>
          <w:tcPr>
            <w:tcW w:w="6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900" w:type="dxa"/>
            <w:vAlign w:val="bottom"/>
          </w:tcPr>
          <w:p>
            <w:pPr>
              <w:jc w:val="center"/>
              <w:ind w:right="3"/>
              <w:spacing w:after="0" w:line="155"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gridSpan w:val="13"/>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69"/>
        </w:trPr>
        <w:tc>
          <w:tcPr>
            <w:tcW w:w="960" w:type="dxa"/>
            <w:vAlign w:val="bottom"/>
          </w:tcPr>
          <w:p>
            <w:pPr>
              <w:spacing w:after="0" w:line="169" w:lineRule="exact"/>
              <w:rPr>
                <w:sz w:val="20"/>
                <w:szCs w:val="20"/>
                <w:color w:val="auto"/>
              </w:rPr>
            </w:pPr>
            <w:r>
              <w:rPr>
                <w:rFonts w:ascii="Arial" w:cs="Arial" w:eastAsia="Arial" w:hAnsi="Arial"/>
                <w:sz w:val="16"/>
                <w:szCs w:val="16"/>
                <w:color w:val="auto"/>
              </w:rPr>
              <w:t>3.1</w:t>
            </w:r>
          </w:p>
        </w:tc>
        <w:tc>
          <w:tcPr>
            <w:tcW w:w="4640" w:type="dxa"/>
            <w:vAlign w:val="bottom"/>
            <w:gridSpan w:val="15"/>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Amendment to Huron Consulting Group Inc.'s Third Amended</w:t>
              </w:r>
            </w:hyperlink>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6"/>
                <w:szCs w:val="16"/>
                <w:color w:val="auto"/>
              </w:rPr>
              <w:t>DEF 14A</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80"/>
              <w:spacing w:after="0" w:line="169" w:lineRule="exact"/>
              <w:rPr>
                <w:sz w:val="20"/>
                <w:szCs w:val="20"/>
                <w:color w:val="auto"/>
              </w:rPr>
            </w:pPr>
            <w:r>
              <w:rPr>
                <w:rFonts w:ascii="Arial" w:cs="Arial" w:eastAsia="Arial" w:hAnsi="Arial"/>
                <w:sz w:val="16"/>
                <w:szCs w:val="16"/>
                <w:color w:val="auto"/>
              </w:rPr>
              <w:t>Appendix A</w:t>
            </w:r>
          </w:p>
        </w:tc>
        <w:tc>
          <w:tcPr>
            <w:tcW w:w="900" w:type="dxa"/>
            <w:vAlign w:val="bottom"/>
          </w:tcPr>
          <w:p>
            <w:pPr>
              <w:jc w:val="center"/>
              <w:ind w:right="3"/>
              <w:spacing w:after="0" w:line="169" w:lineRule="exact"/>
              <w:rPr>
                <w:sz w:val="20"/>
                <w:szCs w:val="20"/>
                <w:color w:val="auto"/>
              </w:rPr>
            </w:pPr>
            <w:r>
              <w:rPr>
                <w:rFonts w:ascii="Arial" w:cs="Arial" w:eastAsia="Arial" w:hAnsi="Arial"/>
                <w:sz w:val="16"/>
                <w:szCs w:val="16"/>
                <w:color w:val="auto"/>
                <w:w w:val="99"/>
              </w:rPr>
              <w:t>4/5/2023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4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and Restated Certificate of Incorporation, effective May 15,</w:t>
              </w:r>
            </w:hyperlink>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62">
              <w:r>
                <w:rPr>
                  <w:rFonts w:ascii="Arial" w:cs="Arial" w:eastAsia="Arial" w:hAnsi="Arial"/>
                  <w:sz w:val="16"/>
                  <w:szCs w:val="16"/>
                  <w:color w:val="0000FF"/>
                  <w:w w:val="94"/>
                </w:rPr>
                <w:t>2023.</w:t>
              </w:r>
            </w:hyperlink>
          </w:p>
        </w:tc>
        <w:tc>
          <w:tcPr>
            <w:tcW w:w="19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3.2</w:t>
            </w:r>
          </w:p>
        </w:tc>
        <w:tc>
          <w:tcPr>
            <w:tcW w:w="4640" w:type="dxa"/>
            <w:vAlign w:val="bottom"/>
            <w:gridSpan w:val="15"/>
          </w:tcPr>
          <w:p>
            <w:pPr>
              <w:spacing w:after="0"/>
              <w:rPr>
                <w:rFonts w:ascii="Arial" w:cs="Arial" w:eastAsia="Arial" w:hAnsi="Arial"/>
                <w:sz w:val="16"/>
                <w:szCs w:val="16"/>
                <w:color w:val="0000FF"/>
              </w:rPr>
            </w:pPr>
            <w:hyperlink r:id="rId63">
              <w:r>
                <w:rPr>
                  <w:rFonts w:ascii="Arial" w:cs="Arial" w:eastAsia="Arial" w:hAnsi="Arial"/>
                  <w:sz w:val="16"/>
                  <w:szCs w:val="16"/>
                  <w:color w:val="0000FF"/>
                </w:rPr>
                <w:t>Amended and Restated Bylaws of Huron Consulting Group</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5/19/2023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Inc. (as amended on May 15, 2023).</w:t>
              </w:r>
            </w:hyperlink>
          </w:p>
        </w:tc>
        <w:tc>
          <w:tcPr>
            <w:tcW w:w="162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10.1*</w:t>
            </w:r>
          </w:p>
        </w:tc>
        <w:tc>
          <w:tcPr>
            <w:tcW w:w="4640" w:type="dxa"/>
            <w:vAlign w:val="bottom"/>
            <w:gridSpan w:val="15"/>
          </w:tcPr>
          <w:p>
            <w:pPr>
              <w:spacing w:after="0"/>
              <w:rPr>
                <w:rFonts w:ascii="Arial" w:cs="Arial" w:eastAsia="Arial" w:hAnsi="Arial"/>
                <w:sz w:val="16"/>
                <w:szCs w:val="16"/>
                <w:color w:val="0000FF"/>
              </w:rPr>
            </w:pPr>
            <w:hyperlink r:id="rId62">
              <w:r>
                <w:rPr>
                  <w:rFonts w:ascii="Arial" w:cs="Arial" w:eastAsia="Arial" w:hAnsi="Arial"/>
                  <w:sz w:val="16"/>
                  <w:szCs w:val="16"/>
                  <w:color w:val="0000FF"/>
                </w:rPr>
                <w:t>Amendment to the Huron Consulting Group Inc. Amended and</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DEF 14A</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color w:val="auto"/>
              </w:rPr>
              <w:t>Appendix B</w:t>
            </w:r>
          </w:p>
        </w:tc>
        <w:tc>
          <w:tcPr>
            <w:tcW w:w="900" w:type="dxa"/>
            <w:vAlign w:val="bottom"/>
          </w:tcPr>
          <w:p>
            <w:pPr>
              <w:jc w:val="center"/>
              <w:ind w:right="3"/>
              <w:spacing w:after="0"/>
              <w:rPr>
                <w:sz w:val="20"/>
                <w:szCs w:val="20"/>
                <w:color w:val="auto"/>
              </w:rPr>
            </w:pPr>
            <w:r>
              <w:rPr>
                <w:rFonts w:ascii="Arial" w:cs="Arial" w:eastAsia="Arial" w:hAnsi="Arial"/>
                <w:sz w:val="16"/>
                <w:szCs w:val="16"/>
                <w:color w:val="auto"/>
                <w:w w:val="99"/>
              </w:rPr>
              <w:t>4/5/2023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4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Restated 2012 Omnibus Incentive Plan, effective May 15,</w:t>
              </w:r>
            </w:hyperlink>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r:id="rId62">
              <w:r>
                <w:rPr>
                  <w:rFonts w:ascii="Arial" w:cs="Arial" w:eastAsia="Arial" w:hAnsi="Arial"/>
                  <w:sz w:val="16"/>
                  <w:szCs w:val="16"/>
                  <w:color w:val="0000FF"/>
                  <w:w w:val="95"/>
                </w:rPr>
                <w:t>2023</w:t>
              </w:r>
            </w:hyperlink>
          </w:p>
        </w:tc>
        <w:tc>
          <w:tcPr>
            <w:tcW w:w="4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4640" w:type="dxa"/>
            <w:vAlign w:val="bottom"/>
            <w:gridSpan w:val="15"/>
          </w:tcPr>
          <w:p>
            <w:pPr>
              <w:spacing w:after="0"/>
              <w:rPr>
                <w:sz w:val="20"/>
                <w:szCs w:val="20"/>
                <w:color w:val="auto"/>
              </w:rPr>
            </w:pPr>
            <w:r>
              <w:rPr>
                <w:rFonts w:ascii="Arial" w:cs="Arial" w:eastAsia="Arial" w:hAnsi="Arial"/>
                <w:sz w:val="16"/>
                <w:szCs w:val="16"/>
                <w:color w:val="0000FF"/>
              </w:rPr>
              <w:t>Certification of the Chief Executive Officer, pursuant to Rule</w:t>
            </w: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280" w:type="dxa"/>
            <w:vAlign w:val="bottom"/>
            <w:gridSpan w:val="11"/>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0" w:type="dxa"/>
            <w:vAlign w:val="bottom"/>
          </w:tcPr>
          <w:p>
            <w:pPr>
              <w:spacing w:after="0"/>
              <w:rPr>
                <w:sz w:val="12"/>
                <w:szCs w:val="12"/>
                <w:color w:val="auto"/>
              </w:rPr>
            </w:pPr>
          </w:p>
        </w:tc>
        <w:tc>
          <w:tcPr>
            <w:tcW w:w="34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4640" w:type="dxa"/>
            <w:vAlign w:val="bottom"/>
            <w:gridSpan w:val="15"/>
          </w:tcPr>
          <w:p>
            <w:pPr>
              <w:spacing w:after="0"/>
              <w:rPr>
                <w:sz w:val="20"/>
                <w:szCs w:val="20"/>
                <w:color w:val="auto"/>
              </w:rPr>
            </w:pPr>
            <w:r>
              <w:rPr>
                <w:rFonts w:ascii="Arial" w:cs="Arial" w:eastAsia="Arial" w:hAnsi="Arial"/>
                <w:sz w:val="16"/>
                <w:szCs w:val="16"/>
                <w:color w:val="0000FF"/>
              </w:rPr>
              <w:t>Certification of the Chief Financial Officer, pursuant to Rule</w:t>
            </w: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tcPr>
          <w:p>
            <w:pPr>
              <w:spacing w:after="0"/>
              <w:rPr>
                <w:sz w:val="12"/>
                <w:szCs w:val="12"/>
                <w:color w:val="auto"/>
              </w:rPr>
            </w:pPr>
          </w:p>
        </w:tc>
        <w:tc>
          <w:tcPr>
            <w:tcW w:w="4640" w:type="dxa"/>
            <w:vAlign w:val="bottom"/>
            <w:gridSpan w:val="15"/>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28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0" w:type="dxa"/>
            <w:vAlign w:val="bottom"/>
          </w:tcPr>
          <w:p>
            <w:pPr>
              <w:spacing w:after="0"/>
              <w:rPr>
                <w:sz w:val="12"/>
                <w:szCs w:val="12"/>
                <w:color w:val="auto"/>
              </w:rPr>
            </w:pPr>
          </w:p>
        </w:tc>
        <w:tc>
          <w:tcPr>
            <w:tcW w:w="34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4640" w:type="dxa"/>
            <w:vAlign w:val="bottom"/>
            <w:gridSpan w:val="15"/>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1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540" w:type="dxa"/>
            <w:vAlign w:val="bottom"/>
            <w:gridSpan w:val="9"/>
          </w:tcPr>
          <w:p>
            <w:pPr>
              <w:ind w:left="60"/>
              <w:spacing w:after="0" w:line="142" w:lineRule="exact"/>
              <w:rPr>
                <w:sz w:val="20"/>
                <w:szCs w:val="20"/>
                <w:color w:val="auto"/>
              </w:rPr>
            </w:pPr>
            <w:r>
              <w:rPr>
                <w:rFonts w:ascii="Arial" w:cs="Arial" w:eastAsia="Arial" w:hAnsi="Arial"/>
                <w:sz w:val="16"/>
                <w:szCs w:val="16"/>
                <w:color w:val="0000FF"/>
              </w:rPr>
              <w:t>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3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34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32.2</w:t>
            </w:r>
          </w:p>
        </w:tc>
        <w:tc>
          <w:tcPr>
            <w:tcW w:w="4640" w:type="dxa"/>
            <w:vAlign w:val="bottom"/>
            <w:gridSpan w:val="15"/>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0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580" w:type="dxa"/>
            <w:vAlign w:val="bottom"/>
            <w:gridSpan w:val="10"/>
          </w:tcPr>
          <w:p>
            <w:pPr>
              <w:ind w:left="100"/>
              <w:spacing w:after="0" w:line="142" w:lineRule="exact"/>
              <w:rPr>
                <w:sz w:val="20"/>
                <w:szCs w:val="20"/>
                <w:color w:val="auto"/>
              </w:rPr>
            </w:pPr>
            <w:r>
              <w:rPr>
                <w:rFonts w:ascii="Arial" w:cs="Arial" w:eastAsia="Arial" w:hAnsi="Arial"/>
                <w:sz w:val="16"/>
                <w:szCs w:val="16"/>
                <w:color w:val="0000FF"/>
              </w:rPr>
              <w:t>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3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34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tcPr>
          <w:p>
            <w:pPr>
              <w:spacing w:after="0"/>
              <w:rPr>
                <w:sz w:val="20"/>
                <w:szCs w:val="20"/>
                <w:color w:val="auto"/>
              </w:rPr>
            </w:pPr>
            <w:r>
              <w:rPr>
                <w:rFonts w:ascii="Arial" w:cs="Arial" w:eastAsia="Arial" w:hAnsi="Arial"/>
                <w:sz w:val="16"/>
                <w:szCs w:val="16"/>
                <w:color w:val="auto"/>
              </w:rPr>
              <w:t>101.INS</w:t>
            </w:r>
          </w:p>
        </w:tc>
        <w:tc>
          <w:tcPr>
            <w:tcW w:w="4640" w:type="dxa"/>
            <w:vAlign w:val="bottom"/>
            <w:gridSpan w:val="15"/>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640" w:type="dxa"/>
            <w:vAlign w:val="bottom"/>
            <w:gridSpan w:val="15"/>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4640" w:type="dxa"/>
            <w:vAlign w:val="bottom"/>
            <w:gridSpan w:val="15"/>
          </w:tcPr>
          <w:p>
            <w:pPr>
              <w:spacing w:after="0"/>
              <w:rPr>
                <w:sz w:val="20"/>
                <w:szCs w:val="20"/>
                <w:color w:val="auto"/>
              </w:rPr>
            </w:pPr>
            <w:r>
              <w:rPr>
                <w:rFonts w:ascii="Arial" w:cs="Arial" w:eastAsia="Arial" w:hAnsi="Arial"/>
                <w:sz w:val="16"/>
                <w:szCs w:val="16"/>
                <w:color w:val="auto"/>
              </w:rPr>
              <w:t>are embedded within the Inline XBRL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464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w:t>
            </w: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line="171" w:lineRule="exact"/>
              <w:rPr>
                <w:sz w:val="20"/>
                <w:szCs w:val="20"/>
                <w:color w:val="auto"/>
              </w:rPr>
            </w:pPr>
            <w:r>
              <w:rPr>
                <w:rFonts w:ascii="Arial" w:cs="Arial" w:eastAsia="Arial" w:hAnsi="Arial"/>
                <w:sz w:val="16"/>
                <w:szCs w:val="16"/>
                <w:color w:val="auto"/>
              </w:rPr>
              <w:t>101.CAL</w:t>
            </w:r>
          </w:p>
        </w:tc>
        <w:tc>
          <w:tcPr>
            <w:tcW w:w="4640" w:type="dxa"/>
            <w:vAlign w:val="bottom"/>
            <w:gridSpan w:val="15"/>
          </w:tcPr>
          <w:p>
            <w:pPr>
              <w:spacing w:after="0" w:line="171" w:lineRule="exact"/>
              <w:rPr>
                <w:sz w:val="20"/>
                <w:szCs w:val="20"/>
                <w:color w:val="auto"/>
              </w:rPr>
            </w:pPr>
            <w:r>
              <w:rPr>
                <w:rFonts w:ascii="Arial" w:cs="Arial" w:eastAsia="Arial" w:hAnsi="Arial"/>
                <w:sz w:val="16"/>
                <w:szCs w:val="16"/>
                <w:color w:val="auto"/>
              </w:rPr>
              <w:t>Inline XBRL Taxonomy Extension Calculation Link base</w:t>
            </w:r>
          </w:p>
        </w:tc>
        <w:tc>
          <w:tcPr>
            <w:tcW w:w="780" w:type="dxa"/>
            <w:vAlign w:val="bottom"/>
          </w:tcPr>
          <w:p>
            <w:pPr>
              <w:jc w:val="center"/>
              <w:spacing w:after="0" w:line="171"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464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4640" w:type="dxa"/>
            <w:vAlign w:val="bottom"/>
            <w:gridSpan w:val="15"/>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line="171" w:lineRule="exact"/>
              <w:rPr>
                <w:sz w:val="20"/>
                <w:szCs w:val="20"/>
                <w:color w:val="auto"/>
              </w:rPr>
            </w:pPr>
            <w:r>
              <w:rPr>
                <w:rFonts w:ascii="Arial" w:cs="Arial" w:eastAsia="Arial" w:hAnsi="Arial"/>
                <w:sz w:val="16"/>
                <w:szCs w:val="16"/>
                <w:color w:val="auto"/>
              </w:rPr>
              <w:t>101.PRE</w:t>
            </w:r>
          </w:p>
        </w:tc>
        <w:tc>
          <w:tcPr>
            <w:tcW w:w="4640" w:type="dxa"/>
            <w:vAlign w:val="bottom"/>
            <w:gridSpan w:val="15"/>
          </w:tcPr>
          <w:p>
            <w:pPr>
              <w:spacing w:after="0" w:line="171" w:lineRule="exact"/>
              <w:rPr>
                <w:sz w:val="20"/>
                <w:szCs w:val="20"/>
                <w:color w:val="auto"/>
              </w:rPr>
            </w:pPr>
            <w:r>
              <w:rPr>
                <w:rFonts w:ascii="Arial" w:cs="Arial" w:eastAsia="Arial" w:hAnsi="Arial"/>
                <w:sz w:val="16"/>
                <w:szCs w:val="16"/>
                <w:color w:val="auto"/>
              </w:rPr>
              <w:t>Inline XBRL Taxonomy Extension Presentation Linkbase</w:t>
            </w:r>
          </w:p>
        </w:tc>
        <w:tc>
          <w:tcPr>
            <w:tcW w:w="780" w:type="dxa"/>
            <w:vAlign w:val="bottom"/>
          </w:tcPr>
          <w:p>
            <w:pPr>
              <w:jc w:val="center"/>
              <w:spacing w:after="0" w:line="171"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464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line="171" w:lineRule="exact"/>
              <w:rPr>
                <w:sz w:val="20"/>
                <w:szCs w:val="20"/>
                <w:color w:val="auto"/>
              </w:rPr>
            </w:pPr>
            <w:r>
              <w:rPr>
                <w:rFonts w:ascii="Arial" w:cs="Arial" w:eastAsia="Arial" w:hAnsi="Arial"/>
                <w:sz w:val="16"/>
                <w:szCs w:val="16"/>
                <w:color w:val="auto"/>
              </w:rPr>
              <w:t>101.DEF</w:t>
            </w:r>
          </w:p>
        </w:tc>
        <w:tc>
          <w:tcPr>
            <w:tcW w:w="4640" w:type="dxa"/>
            <w:vAlign w:val="bottom"/>
            <w:gridSpan w:val="15"/>
          </w:tcPr>
          <w:p>
            <w:pPr>
              <w:spacing w:after="0" w:line="171" w:lineRule="exact"/>
              <w:rPr>
                <w:sz w:val="20"/>
                <w:szCs w:val="20"/>
                <w:color w:val="auto"/>
              </w:rPr>
            </w:pPr>
            <w:r>
              <w:rPr>
                <w:rFonts w:ascii="Arial" w:cs="Arial" w:eastAsia="Arial" w:hAnsi="Arial"/>
                <w:sz w:val="16"/>
                <w:szCs w:val="16"/>
                <w:color w:val="auto"/>
              </w:rPr>
              <w:t>Inline XBRL Taxonomy Extension Definition Linkbase</w:t>
            </w:r>
          </w:p>
        </w:tc>
        <w:tc>
          <w:tcPr>
            <w:tcW w:w="780" w:type="dxa"/>
            <w:vAlign w:val="bottom"/>
          </w:tcPr>
          <w:p>
            <w:pPr>
              <w:jc w:val="center"/>
              <w:spacing w:after="0" w:line="171"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464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line="171" w:lineRule="exact"/>
              <w:rPr>
                <w:sz w:val="20"/>
                <w:szCs w:val="20"/>
                <w:color w:val="auto"/>
              </w:rPr>
            </w:pPr>
            <w:r>
              <w:rPr>
                <w:rFonts w:ascii="Arial" w:cs="Arial" w:eastAsia="Arial" w:hAnsi="Arial"/>
                <w:sz w:val="16"/>
                <w:szCs w:val="16"/>
                <w:color w:val="auto"/>
              </w:rPr>
              <w:t>104</w:t>
            </w:r>
          </w:p>
        </w:tc>
        <w:tc>
          <w:tcPr>
            <w:tcW w:w="4640" w:type="dxa"/>
            <w:vAlign w:val="bottom"/>
            <w:gridSpan w:val="15"/>
          </w:tcPr>
          <w:p>
            <w:pPr>
              <w:spacing w:after="0" w:line="171" w:lineRule="exact"/>
              <w:rPr>
                <w:sz w:val="20"/>
                <w:szCs w:val="20"/>
                <w:color w:val="auto"/>
              </w:rPr>
            </w:pPr>
            <w:r>
              <w:rPr>
                <w:rFonts w:ascii="Arial" w:cs="Arial" w:eastAsia="Arial" w:hAnsi="Arial"/>
                <w:sz w:val="16"/>
                <w:szCs w:val="16"/>
                <w:color w:val="auto"/>
              </w:rPr>
              <w:t>Cover Page Interactive Data File (formatted as inline XBRL</w:t>
            </w:r>
          </w:p>
        </w:tc>
        <w:tc>
          <w:tcPr>
            <w:tcW w:w="780" w:type="dxa"/>
            <w:vAlign w:val="bottom"/>
          </w:tcPr>
          <w:p>
            <w:pPr>
              <w:jc w:val="center"/>
              <w:spacing w:after="0" w:line="171"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4640" w:type="dxa"/>
            <w:vAlign w:val="bottom"/>
            <w:gridSpan w:val="15"/>
          </w:tcPr>
          <w:p>
            <w:pPr>
              <w:spacing w:after="0"/>
              <w:rPr>
                <w:sz w:val="20"/>
                <w:szCs w:val="20"/>
                <w:color w:val="auto"/>
              </w:rPr>
            </w:pPr>
            <w:r>
              <w:rPr>
                <w:rFonts w:ascii="Arial" w:cs="Arial" w:eastAsia="Arial" w:hAnsi="Arial"/>
                <w:sz w:val="16"/>
                <w:szCs w:val="16"/>
                <w:color w:val="auto"/>
              </w:rPr>
              <w:t>and contained in Exhibit 101)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60" w:hanging="934"/>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7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13"/>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gridSpan w:val="2"/>
          </w:tcPr>
          <w:p>
            <w:pPr>
              <w:ind w:left="440"/>
              <w:spacing w:after="0"/>
              <w:rPr>
                <w:sz w:val="20"/>
                <w:szCs w:val="20"/>
                <w:color w:val="auto"/>
              </w:rPr>
            </w:pPr>
            <w:r>
              <w:rPr>
                <w:rFonts w:ascii="Arial" w:cs="Arial" w:eastAsia="Arial" w:hAnsi="Arial"/>
                <w:sz w:val="18"/>
                <w:szCs w:val="18"/>
                <w:color w:val="auto"/>
              </w:rPr>
              <w:t>July 27, 2023</w:t>
            </w:r>
          </w:p>
        </w:tc>
        <w:tc>
          <w:tcPr>
            <w:tcW w:w="5160" w:type="dxa"/>
            <w:vAlign w:val="bottom"/>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00" w:type="dxa"/>
            <w:vAlign w:val="bottom"/>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76"/>
        </w:trPr>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160" w:type="dxa"/>
            <w:vAlign w:val="bottom"/>
          </w:tcPr>
          <w:p>
            <w:pPr>
              <w:jc w:val="center"/>
              <w:spacing w:after="0" w:line="176" w:lineRule="exact"/>
              <w:rPr>
                <w:sz w:val="20"/>
                <w:szCs w:val="20"/>
                <w:color w:val="auto"/>
              </w:rPr>
            </w:pPr>
            <w:r>
              <w:rPr>
                <w:rFonts w:ascii="Arial" w:cs="Arial" w:eastAsia="Arial" w:hAnsi="Arial"/>
                <w:sz w:val="18"/>
                <w:szCs w:val="18"/>
                <w:color w:val="auto"/>
                <w:w w:val="99"/>
              </w:rPr>
              <w:t>Executive Vice President,</w:t>
            </w:r>
          </w:p>
        </w:tc>
      </w:tr>
      <w:tr>
        <w:trPr>
          <w:trHeight w:val="229"/>
        </w:trPr>
        <w:tc>
          <w:tcPr>
            <w:tcW w:w="7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6"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40" w:hanging="332"/>
        <w:spacing w:after="0" w:line="263" w:lineRule="auto"/>
        <w:tabs>
          <w:tab w:leader="none" w:pos="3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160" w:hanging="332"/>
        <w:spacing w:after="0" w:line="298" w:lineRule="auto"/>
        <w:tabs>
          <w:tab w:leader="none" w:pos="3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60" w:hanging="332"/>
        <w:spacing w:after="0" w:line="272" w:lineRule="auto"/>
        <w:tabs>
          <w:tab w:leader="none" w:pos="3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51" w:lineRule="exact"/>
        <w:rPr>
          <w:rFonts w:ascii="Arial" w:cs="Arial" w:eastAsia="Arial" w:hAnsi="Arial"/>
          <w:sz w:val="17"/>
          <w:szCs w:val="17"/>
          <w:color w:val="auto"/>
        </w:rPr>
      </w:pPr>
    </w:p>
    <w:p>
      <w:pPr>
        <w:ind w:left="660" w:right="60" w:hanging="328"/>
        <w:spacing w:after="0" w:line="263"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100" w:hanging="328"/>
        <w:spacing w:after="0" w:line="263"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660" w:right="360" w:hanging="328"/>
        <w:spacing w:after="0" w:line="263"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100" w:hanging="332"/>
        <w:spacing w:after="0" w:line="263" w:lineRule="auto"/>
        <w:tabs>
          <w:tab w:leader="none" w:pos="3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660" w:right="240" w:hanging="328"/>
        <w:spacing w:after="0" w:line="275"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8"/>
          <w:szCs w:val="18"/>
          <w:color w:val="auto"/>
        </w:rPr>
      </w:pPr>
    </w:p>
    <w:p>
      <w:pPr>
        <w:ind w:left="660" w:right="460" w:hanging="328"/>
        <w:spacing w:after="0" w:line="275"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July 27, 2023</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 MARK HUSSEY</w:t>
            </w:r>
          </w:p>
        </w:tc>
      </w:tr>
      <w:tr>
        <w:trPr>
          <w:trHeight w:val="223"/>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0"/>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ectPr>
          <w:pgSz w:w="11900" w:h="16838" w:orient="portrait"/>
          <w:cols w:equalWidth="0" w:num="1">
            <w:col w:w="11240"/>
          </w:cols>
          <w:pgMar w:left="320" w:top="88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40" w:hanging="332"/>
        <w:spacing w:after="0" w:line="263" w:lineRule="auto"/>
        <w:tabs>
          <w:tab w:leader="none" w:pos="3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160" w:hanging="332"/>
        <w:spacing w:after="0" w:line="298" w:lineRule="auto"/>
        <w:tabs>
          <w:tab w:leader="none" w:pos="3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60" w:hanging="332"/>
        <w:spacing w:after="0" w:line="272" w:lineRule="auto"/>
        <w:tabs>
          <w:tab w:leader="none" w:pos="3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51" w:lineRule="exact"/>
        <w:rPr>
          <w:rFonts w:ascii="Arial" w:cs="Arial" w:eastAsia="Arial" w:hAnsi="Arial"/>
          <w:sz w:val="17"/>
          <w:szCs w:val="17"/>
          <w:color w:val="auto"/>
        </w:rPr>
      </w:pPr>
    </w:p>
    <w:p>
      <w:pPr>
        <w:ind w:left="660" w:right="60" w:hanging="328"/>
        <w:spacing w:after="0" w:line="263"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100" w:hanging="328"/>
        <w:spacing w:after="0" w:line="263"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660" w:right="360" w:hanging="328"/>
        <w:spacing w:after="0" w:line="263"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100" w:hanging="332"/>
        <w:spacing w:after="0" w:line="263" w:lineRule="auto"/>
        <w:tabs>
          <w:tab w:leader="none" w:pos="3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660" w:right="240" w:hanging="328"/>
        <w:spacing w:after="0" w:line="275"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8"/>
          <w:szCs w:val="18"/>
          <w:color w:val="auto"/>
        </w:rPr>
      </w:pPr>
    </w:p>
    <w:p>
      <w:pPr>
        <w:ind w:left="660" w:right="460" w:hanging="328"/>
        <w:spacing w:after="0" w:line="275"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July 27, 2023</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90"/>
        </w:trPr>
        <w:tc>
          <w:tcPr>
            <w:tcW w:w="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29"/>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08"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2023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spacing w:after="0" w:line="136" w:lineRule="exact"/>
        <w:rPr>
          <w:sz w:val="20"/>
          <w:szCs w:val="20"/>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20" w:hanging="326"/>
        <w:spacing w:after="0" w:line="275" w:lineRule="auto"/>
        <w:tabs>
          <w:tab w:leader="none" w:pos="8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July 27, 2023</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 MARK HUSSEY</w:t>
            </w:r>
          </w:p>
        </w:tc>
      </w:tr>
      <w:tr>
        <w:trPr>
          <w:trHeight w:val="223"/>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29"/>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pacing w:after="0" w:line="163" w:lineRule="exact"/>
        <w:rPr>
          <w:sz w:val="20"/>
          <w:szCs w:val="20"/>
          <w:color w:val="auto"/>
        </w:rPr>
      </w:pPr>
    </w:p>
    <w:p>
      <w:pPr>
        <w:ind w:right="260" w:firstLine="486"/>
        <w:spacing w:after="0" w:line="258"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36" w:lineRule="exact"/>
        <w:rPr>
          <w:sz w:val="20"/>
          <w:szCs w:val="20"/>
          <w:color w:val="auto"/>
        </w:rPr>
      </w:pPr>
    </w:p>
    <w:p>
      <w:pPr>
        <w:ind w:right="80" w:firstLine="486"/>
        <w:spacing w:after="0" w:line="275"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2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2023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36" w:lineRule="exact"/>
        <w:rPr>
          <w:sz w:val="20"/>
          <w:szCs w:val="20"/>
          <w:color w:val="auto"/>
        </w:rPr>
      </w:pPr>
    </w:p>
    <w:p>
      <w:pPr>
        <w:ind w:left="840" w:hanging="346"/>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20" w:hanging="326"/>
        <w:spacing w:after="0" w:line="275" w:lineRule="auto"/>
        <w:tabs>
          <w:tab w:leader="none" w:pos="8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July 27, 2023</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90"/>
        </w:trPr>
        <w:tc>
          <w:tcPr>
            <w:tcW w:w="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29"/>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49" w:lineRule="exact"/>
        <w:rPr>
          <w:sz w:val="20"/>
          <w:szCs w:val="20"/>
          <w:color w:val="auto"/>
        </w:rPr>
      </w:pPr>
    </w:p>
    <w:p>
      <w:pPr>
        <w:ind w:right="260" w:firstLine="486"/>
        <w:spacing w:after="0" w:line="258"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36" w:lineRule="exact"/>
        <w:rPr>
          <w:sz w:val="20"/>
          <w:szCs w:val="20"/>
          <w:color w:val="auto"/>
        </w:rPr>
      </w:pPr>
    </w:p>
    <w:p>
      <w:pPr>
        <w:ind w:right="80" w:firstLine="486"/>
        <w:spacing w:after="0" w:line="275"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2" Type="http://schemas.openxmlformats.org/officeDocument/2006/relationships/hyperlink" Target="https://www.sec.gov/ix?doc=/Archives/edgar/data/1289848/000128984823000033/hurn-20230405.htm" TargetMode="External"/><Relationship Id="rId63" Type="http://schemas.openxmlformats.org/officeDocument/2006/relationships/hyperlink" Target="https://www.sec.gov/Archives/edgar/data/1289848/000128984823000071/amendedandrestatedbylaws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2023-07-27T15:51:25Z</dcterms:created>
  <dcterms:modified xsi:type="dcterms:W3CDTF">2023-07-27T15:51:25Z</dcterms:modified>
</cp:coreProperties>
</file>