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40" w:right="1560" w:hanging="3705"/>
        <w:spacing w:after="0" w:line="328" w:lineRule="auto"/>
        <w:tabs>
          <w:tab w:leader="none" w:pos="678"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560" w:hanging="4285"/>
        <w:spacing w:after="0" w:line="376" w:lineRule="auto"/>
        <w:tabs>
          <w:tab w:leader="none" w:pos="69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4560" w:type="dxa"/>
            <w:vAlign w:val="bottom"/>
          </w:tcPr>
          <w:p>
            <w:pPr>
              <w:ind w:left="400"/>
              <w:spacing w:after="0"/>
              <w:rPr>
                <w:sz w:val="20"/>
                <w:szCs w:val="20"/>
                <w:color w:val="auto"/>
              </w:rPr>
            </w:pPr>
            <w:r>
              <w:rPr>
                <w:rFonts w:ascii="Arial" w:cs="Arial" w:eastAsia="Arial" w:hAnsi="Arial"/>
                <w:sz w:val="17"/>
                <w:szCs w:val="17"/>
                <w:color w:val="auto"/>
              </w:rPr>
              <w:t>o (Do not check if a smaller reporting company)</w:t>
            </w:r>
          </w:p>
        </w:tc>
        <w:tc>
          <w:tcPr>
            <w:tcW w:w="328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80" w:type="dxa"/>
            <w:vAlign w:val="bottom"/>
          </w:tcPr>
          <w:p>
            <w:pPr>
              <w:ind w:left="86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October 23, 2018, 22,553,838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524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51">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101,778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208,144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645,543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645,750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83,069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73,698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27,916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358,582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394,145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$0.01 par value; 500,000,000 shares authorized; 25,104,739 and 24,560,468 shares issued at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 and December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8"/>
              </w:rPr>
              <w:t>Treasury stock, at cost, 2,549,822 and 2,443,577 shares at September 30, 2018 and December 31, 2017,</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529,873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8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8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595"/>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Pr>
          <w:p>
            <w:pPr>
              <w:spacing w:after="0"/>
              <w:rPr>
                <w:sz w:val="19"/>
                <w:szCs w:val="19"/>
                <w:color w:val="auto"/>
              </w:rPr>
            </w:pPr>
          </w:p>
        </w:tc>
      </w:tr>
      <w:tr>
        <w:trPr>
          <w:trHeight w:val="31"/>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5"/>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5"/>
              <w:spacing w:after="0"/>
              <w:rPr>
                <w:sz w:val="20"/>
                <w:szCs w:val="20"/>
                <w:color w:val="auto"/>
              </w:rPr>
            </w:pPr>
            <w:r>
              <w:rPr>
                <w:rFonts w:ascii="Arial" w:cs="Arial" w:eastAsia="Arial" w:hAnsi="Arial"/>
                <w:sz w:val="17"/>
                <w:szCs w:val="17"/>
                <w:b w:val="1"/>
                <w:bCs w:val="1"/>
                <w:color w:val="auto"/>
                <w:w w:val="84"/>
              </w:rPr>
              <w:t>2017</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Revenues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198,448</w:t>
            </w:r>
          </w:p>
        </w:tc>
        <w:tc>
          <w:tcPr>
            <w:tcW w:w="12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176,376</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589,671</w:t>
            </w:r>
          </w:p>
        </w:tc>
        <w:tc>
          <w:tcPr>
            <w:tcW w:w="120" w:type="dxa"/>
            <w:vAlign w:val="bottom"/>
          </w:tcPr>
          <w:p>
            <w:pPr>
              <w:spacing w:after="0"/>
              <w:rPr>
                <w:sz w:val="20"/>
                <w:szCs w:val="20"/>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546,643</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21,296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59,648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55,862</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219,744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194,358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649,319</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602,505</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 xml:space="preserve">Direct costs and reimbursable expenses </w:t>
            </w:r>
            <w:r>
              <w:rPr>
                <w:rFonts w:ascii="Arial" w:cs="Arial" w:eastAsia="Arial" w:hAnsi="Arial"/>
                <w:sz w:val="17"/>
                <w:szCs w:val="17"/>
                <w:color w:val="auto"/>
              </w:rPr>
              <w:t>(exclusive of depreciation and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shown in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128,596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113,775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388,956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343,185</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8,388</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21,246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18,079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59,710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55,901</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150,851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134,511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451,861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407,474</w:t>
            </w:r>
          </w:p>
        </w:tc>
      </w:tr>
      <w:tr>
        <w:trPr>
          <w:trHeight w:val="206"/>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58"/>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45,915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138,481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132,137</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1,347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2,665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5,295</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losses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8,561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9,946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26,281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28,549</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 charge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209,600</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Total operating expenses and other losses (gains), net</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55,332</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53,749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162,437</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375,359</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13,561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35,021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(180,328)</w:t>
            </w:r>
          </w:p>
        </w:tc>
      </w:tr>
      <w:tr>
        <w:trPr>
          <w:trHeight w:val="226"/>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5"/>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(13,811)</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Other income (expense), net</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(5,131)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3,204</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(10,607)</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9,640</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2,148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15,254</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(190,935)</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4,365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(49,740)</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8,249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4,132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10,889</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(141,195)</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690</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8,477</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4,370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10,585</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(140,505)</w:t>
            </w:r>
          </w:p>
        </w:tc>
      </w:tr>
      <w:tr>
        <w:trPr>
          <w:trHeight w:val="71"/>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79"/>
        </w:trPr>
        <w:tc>
          <w:tcPr>
            <w:tcW w:w="5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basic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72"/>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3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0.38</w:t>
            </w:r>
          </w:p>
        </w:tc>
        <w:tc>
          <w:tcPr>
            <w:tcW w:w="12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20"/>
                <w:szCs w:val="20"/>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(6.59)</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0.03</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0.39</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0.49</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(6.56)</w:t>
            </w:r>
          </w:p>
        </w:tc>
      </w:tr>
      <w:tr>
        <w:trPr>
          <w:trHeight w:val="71"/>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79"/>
        </w:trPr>
        <w:tc>
          <w:tcPr>
            <w:tcW w:w="5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diluted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72"/>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3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0.37</w:t>
            </w:r>
          </w:p>
        </w:tc>
        <w:tc>
          <w:tcPr>
            <w:tcW w:w="12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20"/>
                <w:szCs w:val="20"/>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(6.59)</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0.03</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0.38</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0.48</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(6.56)</w:t>
            </w:r>
          </w:p>
        </w:tc>
      </w:tr>
      <w:tr>
        <w:trPr>
          <w:trHeight w:val="71"/>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79"/>
        </w:trPr>
        <w:tc>
          <w:tcPr>
            <w:tcW w:w="5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Weighted average shares used in calculating earnings per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72"/>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39"/>
        </w:trPr>
        <w:tc>
          <w:tcPr>
            <w:tcW w:w="5620" w:type="dxa"/>
            <w:vAlign w:val="bottom"/>
          </w:tcPr>
          <w:p>
            <w:pPr>
              <w:ind w:left="38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21,745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21,505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21,683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21,413</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21,413</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(140,505)</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(1,499)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1,835</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(loss) on investment,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Unrealized gain (loss) on cash flow hedging instruments, net of tax</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821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7,252</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2,802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14,380</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(140,343)</w:t>
            </w:r>
          </w:p>
        </w:tc>
      </w:tr>
      <w:tr>
        <w:trPr>
          <w:trHeight w:val="31"/>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11"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500"/>
        <w:spacing w:after="0" w:line="339" w:lineRule="auto"/>
        <w:rPr>
          <w:sz w:val="20"/>
          <w:szCs w:val="20"/>
          <w:color w:val="auto"/>
        </w:rPr>
      </w:pPr>
      <w:r>
        <w:rPr>
          <w:rFonts w:ascii="Arial" w:cs="Arial" w:eastAsia="Arial" w:hAnsi="Arial"/>
          <w:sz w:val="14"/>
          <w:szCs w:val="14"/>
          <w:b w:val="1"/>
          <w:bCs w:val="1"/>
          <w:color w:val="auto"/>
        </w:rPr>
        <w:t xml:space="preserve">Balance at December 31, 2017 </w:t>
      </w:r>
      <w:r>
        <w:rPr>
          <w:rFonts w:ascii="Arial" w:cs="Arial" w:eastAsia="Arial" w:hAnsi="Arial"/>
          <w:sz w:val="14"/>
          <w:szCs w:val="14"/>
          <w:color w:val="auto"/>
        </w:rPr>
        <w:t>Comprehensive income</w:t>
      </w:r>
    </w:p>
    <w:p>
      <w:pPr>
        <w:spacing w:after="0" w:line="2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54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Cumulative-effect adjustment from adoption of ASC 606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September 30, 2018</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24,098,822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(2,591,135)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(121,994)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434,256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180,443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503,316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3,795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14,380</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251,965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20,407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12,609</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(84,956)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24,380,787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(2,655,684)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(124,169)</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446,649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192,984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14,165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529,873</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-1765935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-1423035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-977265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-633730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80" w:space="40"/>
            <w:col w:w="900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10,585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(140,505)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29,965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37,881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7,604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(51,062)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(gain) on sale of businesses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48,867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52,432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Distributions from life insurance policies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(106,915)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note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Divestitures of businesses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(125,253)</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(213,674)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(170,082)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acquisition payments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64,262</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16,909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17,027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15,489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issued related to a business acquisition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nine months ended September 30, 2018 and 2017.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2017 included in our Annual Report on Form 10-K and our Quarterly Reports on Form 10-Q for the periods ended March 31, 2018 and June 30, 2018. Our results for any interim period are not necessarily indicative of results for a full year or any other interim period.</w:t>
      </w:r>
    </w:p>
    <w:p>
      <w:pPr>
        <w:spacing w:after="0" w:line="12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On January 1, 2018, we adopted Accounting Standard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Below is an update to our revenue recognition and capitalized sales commissions accounting policies as a result of the adoption. Refer to Note 3 "New Accounting Pronouncements" for additional information on the adoption of ASU 2014-09.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2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goods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Sales Commissions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The amount of capitalized sales commissions amortized during both the three and nine months ended September 30, 2018 was $0.1 million. Unamortized sales commissions were $0.4 million as of September 30,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 August 2017, the Financial Accounting Standards Board ("FASB") issued ASU 2017-12, </w:t>
      </w:r>
      <w:r>
        <w:rPr>
          <w:rFonts w:ascii="Arial" w:cs="Arial" w:eastAsia="Arial" w:hAnsi="Arial"/>
          <w:sz w:val="18"/>
          <w:szCs w:val="18"/>
          <w:i w:val="1"/>
          <w:iCs w:val="1"/>
          <w:color w:val="auto"/>
        </w:rPr>
        <w:t>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Hedging Activities</w:t>
      </w:r>
      <w:r>
        <w:rPr>
          <w:rFonts w:ascii="Arial" w:cs="Arial" w:eastAsia="Arial" w:hAnsi="Arial"/>
          <w:sz w:val="18"/>
          <w:szCs w:val="18"/>
          <w:color w:val="auto"/>
        </w:rPr>
        <w:t>. The amendments to the guidance improve and simplify rules for hedge accounting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better present the economic results of an entity’s risk management activities in its financial statements and improve the disclosures of hedging arrangements. Additionally, ASU 2017-12 simplifies the hedge documentation and effectiveness assessment requirements. We elected to early adopt this ASU effective January 1, 2018. The adoption of this guidance did not have an impact on our consolidated financial statements.</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We adopted this ASU effective January 1, 2018. The adoption of this guidance did not have an impact on our consolidated financial statements.</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 ASC 606, which superseded ASC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new revenue recognition standard provides a five-step analysis of transactions to determine when and how revenue is recognized. The core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 is that a company should recognize revenue to depict the transfer of promised goods or services to customers in an amount that reflects the consideration to which the entity expects to be entitled in exchange for those goods or services. We adopted ASC 606 effective January 1, 2018 on a modified retrospective basis to all open contracts, as modified, as of that date. Adoption of the new standard resulted in changes to our accounting policy for revenue recognition, most notably for performance-based billing arrangements, and sales commissions. Refer to Note 2 "Basis of Presentation" for additional information on our new accounting policies for revenue recognition and capitalized sales commissions. Adopting ASC 606 on a modified retrospective basis had no impact on our consolidated financial statements in the prior periods presented. Upon adoption, we recorded a $2.0 million cumulative-effect adjustment to record a net increase to retained earnings for the portion of performance-based billing arrangements that have been earned as of the adoption date but for which we had not recognized as revenue under previous revenue recognition guidance, the capitalization of sales commissions paid on open contracts as of the adoption date, and the related tax effects. The impact of the cumulative effect adjustment on our consolidated balance sheet upon adoption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Cumulative Effect</w:t>
            </w: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2017</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 2018</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Unbilled services, net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57,618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59,987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16,752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16,065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25,545</w:t>
            </w:r>
          </w:p>
        </w:tc>
      </w:tr>
      <w:tr>
        <w:trPr>
          <w:trHeight w:val="324"/>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180,443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182,399</w:t>
            </w:r>
          </w:p>
        </w:tc>
      </w:tr>
    </w:tbl>
    <w:p>
      <w:pPr>
        <w:spacing w:after="0" w:line="175" w:lineRule="exact"/>
        <w:rPr>
          <w:sz w:val="20"/>
          <w:szCs w:val="20"/>
          <w:color w:val="auto"/>
        </w:rPr>
      </w:pPr>
    </w:p>
    <w:p>
      <w:pPr>
        <w:jc w:val="both"/>
        <w:ind w:left="640" w:right="80" w:hanging="632"/>
        <w:spacing w:after="0" w:line="286"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cumulative effect adjustment related to the portion of performance-based billing arrangements that have been earned as of the adoption date but for which we had not recognized as revenue under previous revenue recognition guidance was recorded as a contract asset within unbilled services, net on our consolidated balance sheet. Refer to Note 6 "Revenues" for additional information on our contract assets.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impact of adoption on our consolidated balance sheet as of September 30, 2018 and consolidated statements of operations for the three and nine months ended September 30, 2018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September 30, 2018</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As reported under ASC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Receivables from clients,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108,747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108,083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net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75,290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14,028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14,715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84"/>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83,069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83,103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84"/>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192,984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188,845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4,139</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200" w:type="dxa"/>
            <w:vAlign w:val="bottom"/>
          </w:tcPr>
          <w:p>
            <w:pPr>
              <w:spacing w:after="0"/>
              <w:rPr>
                <w:sz w:val="20"/>
                <w:szCs w:val="20"/>
                <w:color w:val="auto"/>
              </w:rPr>
            </w:pPr>
          </w:p>
        </w:tc>
        <w:tc>
          <w:tcPr>
            <w:tcW w:w="4840" w:type="dxa"/>
            <w:vAlign w:val="bottom"/>
            <w:gridSpan w:val="7"/>
          </w:tcPr>
          <w:p>
            <w:pPr>
              <w:jc w:val="center"/>
              <w:ind w:right="1090"/>
              <w:spacing w:after="0"/>
              <w:rPr>
                <w:sz w:val="20"/>
                <w:szCs w:val="20"/>
                <w:color w:val="auto"/>
              </w:rPr>
            </w:pPr>
            <w:r>
              <w:rPr>
                <w:rFonts w:ascii="Arial" w:cs="Arial" w:eastAsia="Arial" w:hAnsi="Arial"/>
                <w:sz w:val="18"/>
                <w:szCs w:val="18"/>
                <w:b w:val="1"/>
                <w:bCs w:val="1"/>
                <w:color w:val="auto"/>
                <w:w w:val="90"/>
              </w:rPr>
              <w:t>Three Months Ended September 30, 2018</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198,448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128,596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128,684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per share from continuing operations - basic</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 - diluted</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5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gridSpan w:val="7"/>
          </w:tcPr>
          <w:p>
            <w:pPr>
              <w:jc w:val="center"/>
              <w:ind w:right="35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589,671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586,890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388,956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389,125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12,304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per share from continuing operations - 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 - 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5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40" w:right="320" w:hanging="63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change in revenues due to the adoption of ASC 606 relates to revenue recognized for performance-based fee billing arrangements within our Healthcare segment.</w:t>
      </w:r>
    </w:p>
    <w:p>
      <w:pPr>
        <w:sectPr>
          <w:pgSz w:w="11900" w:h="16838" w:orient="portrait"/>
          <w:cols w:equalWidth="0" w:num="1">
            <w:col w:w="11420"/>
          </w:cols>
          <w:pgMar w:left="240" w:top="125" w:right="239" w:bottom="827"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827"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33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March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a new Topic, ASC 842, which supersedes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using an effective interest rate method or on a straight-line basis over the term of the lease. ASU 2016-02 will be effective for us beginning January 1, 2019 and requires the use of a modified retrospective transition method for existing leases. In July 2018, the FASB issued ASU 2018-11, </w:t>
      </w:r>
      <w:r>
        <w:rPr>
          <w:rFonts w:ascii="Arial" w:cs="Arial" w:eastAsia="Arial" w:hAnsi="Arial"/>
          <w:sz w:val="16"/>
          <w:szCs w:val="16"/>
          <w:i w:val="1"/>
          <w:iCs w:val="1"/>
          <w:color w:val="auto"/>
        </w:rPr>
        <w:t xml:space="preserve">Leases (Topic 842): Targeted Improvements, </w:t>
      </w:r>
      <w:r>
        <w:rPr>
          <w:rFonts w:ascii="Arial" w:cs="Arial" w:eastAsia="Arial" w:hAnsi="Arial"/>
          <w:sz w:val="16"/>
          <w:szCs w:val="16"/>
          <w:color w:val="auto"/>
        </w:rPr>
        <w:t>which provides an optional transition method that allows entities to initially apply ASC 842 at the adoption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recognize a cumulative-effect adjustment to the opening balance of retained earnings on the adoption date. We will elect to adopt ASC 842 using the new transition method provided by ASU 2018-11. We have substantially completed our inventory of outstanding lease agreements and are currently evaluating the potential impact this guidance will have on our consolidated financial statements.</w:t>
      </w:r>
    </w:p>
    <w:p>
      <w:pPr>
        <w:spacing w:after="0" w:line="2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which modifies certain disclosure requirements related to fair value measurements. ASU 2018-13 will be effective for us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2020, with early adoption permitted. We do not expect this guidance to have an impact on the amounts reported on our consolidated financial statements, and we are currently evaluating the potential impact this guidance will have on our disclosures within the notes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 consideration transferred</w:t>
            </w:r>
          </w:p>
        </w:tc>
        <w:tc>
          <w:tcPr>
            <w:tcW w:w="24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1, 2017</w:t>
            </w:r>
          </w:p>
        </w:tc>
      </w:tr>
      <w:tr>
        <w:trPr>
          <w:trHeight w:val="27"/>
        </w:trPr>
        <w:tc>
          <w:tcPr>
            <w:tcW w:w="9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Net working capital adjustment</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that may be paid is $35.0 million. See Note 11 "Fair Value of Financial Instruments" for additional information on the valuation of contingent consideration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Useful Life</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Innosight’s results of operations have been included in our unaudited consolidated statements of operations and results of operations of our Business Advisory segment from the date of acquisition. For the three months ended September 30, 2017, revenues from Innosight were $11.0 million and operating loss was $0.6 million, which included $0.9 million of amortization expense for intangible assets acquired. For the nine months ended September 30, 2017, revenues from Innosight were $27.2 million and operating income was $0.8 million, which included $2.7 million of amortization expense for intangible assets acquired. In connection with the acquisition of Innosight, we incurred $1.7 million of transaction and acquisition-related expenses. Of the $1.7 million of expense, $1.4 million was incurred in the first quarter of 2017 and $0.3 million was incurred in the second quarter in 2017. These costs are recorded in selling, general and administrative expenses.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2017</w:t>
            </w: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 2017</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555,768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(137,922)</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(6.43)</w:t>
            </w:r>
          </w:p>
        </w:tc>
      </w:tr>
    </w:tbl>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historical financial information has been adjusted to give effect to pro forma adjustments of intangible asset amortization expense, acquisition-related costs, interest expense, and the related income tax effects. For the three and nine months ended September 30, 2017, the unaudited pro forma adjustments decreased expense by less than $0.1 million and increased expense by $0.5 million,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nine months ended September 30, 2018.</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Advisory</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302,187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1,041,826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2017</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645,750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September 30,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645,543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2017 Goodwill Impairment Charge</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the second quarter of 2017, we performed a goodwill impairment analysis for our Healthcare reporting unit as our Healthcare business had experienced a prolonged period of declining revenues,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goodwill impairment test was performed by comparing the fair value of the Healthcare reporting unit to its carrying value and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$209.6 million non-cash pretax goodwill impairment charge in the second quarter of 2017 to reduce the carrying value of goodwill in our Healthcare reporting unit.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2018 and December 31,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September 30, 2018</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2017</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Useful Life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9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18,915</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163,522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106,577</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Intangible asset amortization expense was $5.9 million and $8.8 million for the three months ended September 30, 2018 and 2017, respectively. Intangible asset amortization expense was $18.2 million and $26.4 million for the nine months ended September 30, 2018 and 2017, respectively. The table below sets forth the estimated annual amortization expense for the year ending December 31, 2018 and each of the five succeeding years for the definite-lived intangible assets recorded as of September 30,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23,863</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17,206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12,083</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8,064</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3,512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three and nine months ended September 30, 2018, we recognized revenues of $198.4 million and $589.7 million, respectively. For the three and nine months ended September 30, 2017, we recognized revenues of $176.4 million and $546.6 million, respectively. Of the $198.4 million recognized in the third quarter of 2018, we recognized revenues of $7.6 million from obligations satisfied, or partially satisfied, in prior periods, of which $4.3 million was primarily due to the release of allowances on unbilled services due to securing contract amendments and $3.3 million was due to changes in the estimates of our variable consideration under performance-based billing arrangements. Of the $589.7 million recognized in the first nine months of 2018, we recognized revenues of $10.1 million from obligations satisfied, or partially satisfied, in prior periods, of which $6.5 million was due to changes in the estimates of our variable consideration under performance-based billing arrangements and $3.6 million was primarily due to the release of allowances on unbilled services due to securing contract amendments.</w:t>
      </w:r>
    </w:p>
    <w:p>
      <w:pPr>
        <w:spacing w:after="0" w:line="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September 30, 2018, we had $55.2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$55.2 million of performance obligations, we expect to recognize approximately $16.1 million as revenue in the fourth quarter of 2018, $30.1 million in 2019, and the</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remaining $9.0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within unbilled services, net was $2.8 million as of September 30, 2018 and $2.4 million as of January 1, 2018, upon adoption of ASC 606. The $0.4 million increase primarily reflects timing differences between the completion of our performance obligations and the amounts billed or billable to clients in accordance with their contractual billing terms. Refer to Note 3 "New Accounting Pronouncements" for additional information on the adoption of ASC 606.</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Client prepayments and retainers are classified as deferred revenues and recognized over future periods in accordance with the applicable engagement agreement and our revenue recognition policy. Our deferred revenues balance as of September 30, 2018 and December 31, 2017, was $30.0 million and $27.9 million, respectively. The $2.1 million increase primarily reflects timing differences between client payments in accordance with their contract terms and the completion of our performance obligations. For the three and nine months ended September 30, 2018, $2.2 million and $22.8 million, respectively, of revenues recognized were included in the deferred revenue balance as of December 31, 2017.</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(140,505)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22,110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earnings (loss) per diluted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Outstanding common stock options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September 30, 2018, we had a share repurchase program permitting us to repurchase up to $125 million of our common stock through October 31, 2018 (the “Share Repurchase Program”). During the fourth quarter of 2018, our board of directors authorized an extension of the Share Repurchase Program through October 31, 2019.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nine months of 2018 and 2017. As of September 30, 2018, $35.1 million remains available for share repurchases.</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105,000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316,202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343,008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Current maturities of debt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315,691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342,507</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8"/>
        <w:spacing w:after="0" w:line="43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maturities of debt are included as a component of accrued expenses and other current liabilities on our consolidated balance sheets. Below is a summary of the scheduled remaining principal payments of our debt as of September 30, 2018.</w:t>
      </w: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250,514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73,721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September 30, 2018, the remaining life of the Convertible Notes is one year.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and December 31, 2017, the Convertible Notes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620" w:right="5400" w:hanging="5612"/>
        <w:spacing w:after="0" w:line="677" w:lineRule="auto"/>
        <w:tabs>
          <w:tab w:leader="none" w:pos="86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additional paid-in capital on the consolidated balance sheet.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1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Nine Months Ended</w:t>
            </w:r>
          </w:p>
        </w:tc>
        <w:tc>
          <w:tcPr>
            <w:tcW w:w="11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99"/>
              </w:rPr>
              <w:t>September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6,138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5,853</w:t>
            </w: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9,413</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9,112</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LIBOR borrowings, or between 0.25% per annum and 1.00% per annum, in the case of base rate loans, based upon our Consolidated Leverage Ratio at such time.</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right="40" w:firstLine="8"/>
        <w:spacing w:after="0" w:line="271"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September 30, 2018, we were in compliance with these financial covenants with a Consolidated Leverage Ratio of 3.02 to 1.00 and a Consolidated Interest Coverage Ratio of 10.57 to 1.00.</w:t>
      </w:r>
    </w:p>
    <w:p>
      <w:pPr>
        <w:spacing w:after="0" w:line="1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Borrowings outstanding under the Amended Credit Agreement at September 30, 2018 totaled $71.5 million. These borrowings carried a weighted average interest rate of 4.2%, including the effect of the interest rate swap described in Note 10 “Derivative Instruments and Hedging Activity." Borrowings outstanding under the Amended Credit Agreement at December 31, 2017 were $105.0 million and carried a weighted average interest rate of 3.7%, including the effect of the interest rate swap described in Note 10 “Derivative Instrument and Hedging Activity." The borrowing capacity under the revolving credit facility is reduced by any outstanding borrowings under the revolving credit facility and outstanding letters of credit. At September 30, 2018, we had outstanding letters of credit totaling $1.6 million, which are primarily used as security deposits for our office facilities. As of September 30, 2018, the unused borrowing capacity under the revolving credit facility was $426.9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September 30, 2018, the outstanding principal amount of the promissory note was $4.5 million. As of September 30, 2018, the aircraft had a carrying amount of $5.9 million. At December 31, 2017, the outstanding principal amount of the promissory note was $4.9 million, and the aircraft had a carrying amount of $6.5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Restructuring charges netted to an immaterial amount for the three months ended September 30, 2018 and were $2.7 million for the nine months ended September 30, 2018. The restructuring charges incurred in the third quarter of 2018 consisted of a $0.4 million accrual related to employee costs in our Healthcare segment, offset by a $0.3 million decrease in the accrual for remaining lease obligations, net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estimated sublease income, as a result of updated lease assumptions for our San Francisco office vacated in the third quarter of 2017 and a $0.2 million decrease in the accrual related to workforce reductions in our Business Advisory segment recorded in the second quarter of 2018. The $2.7 million of restructuring charges incurred in the first nine months of 2018 primarily consisted of $0.7 million related to the accrual of remaining lease payments, net of estimated sublease income, and accelerated depreciation on leasehold improvements due to exiting a portion of our Middleton, Wisconsin office in the second quarter of 2018; $0.7 million and $0.5 million related to workforce reductions in our Healthcare segment and our Business Advisory segment, respectively, to better align resources with market demand; $0.3 million related to updated lease assumptions for our San Francisco office vacated in the third quarter of 2017; and $0.3 million related to the divestiture of our Middle East practice within the Business Advisory segment in the second quarter of 2018. During the second quarter of 2018, we sold our Middle East practice to a former employee who was the practice leader of that business at the time and we recorded a $5.9 million loss which is included in other income (expense), net in our consolidated statements of operations.</w:t>
      </w:r>
    </w:p>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Restructuring charges for the three and nine months ended September 30, 2017 totaled $1.3 million and $5.3 million, respectively. The $1.3 million charge incurred in the third quarter of 2017 primarily related to the accrual of remaining lease obligations, net of estimated sublease income, due to relocating our San Francisco office to a smaller space and consolidating our New York offices in the third quarter of 2017, and accelerated depreciation on leasehold improvements for our San Francisco office. The $5.3 million of restructuring charges incurred in the first nine months of 2017 primarily consisted of $2.5 million related to the accrual of remaining lease obligations, net of estimated sublease income, due to relocating our San Francisco office to a smaller space and consolidating our Chicago and New York offices in the first nine months of 2017 and accelerated depreciation on leasehold improvements for our San Francisco office; $2.0 million related to workforce reductions in our Healthcare segment to better align our resources with market demand; and $0.4 million related to workforce reductions in our corporate operations primarily to adjust our infrastructure to align with the decreased workforce in the Healthcare segment.</w:t>
      </w:r>
    </w:p>
    <w:p>
      <w:pPr>
        <w:spacing w:after="0" w:line="14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nine months ended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Office Space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Employee Costs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5,514</w:t>
            </w: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w:t>
            </w: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Non-cash items</w:t>
            </w:r>
          </w:p>
        </w:tc>
        <w:tc>
          <w:tcPr>
            <w:tcW w:w="4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right="200" w:hanging="63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Adjustments for the nine months ended September 30, 2018 includes restructuring charges of $0.4 million related to updated lease assumptions for vacated office spaces directly related to discontinued operations.</w:t>
      </w:r>
    </w:p>
    <w:p>
      <w:pPr>
        <w:spacing w:after="0" w:line="1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September 30, 2018, our restructuring charge liability related to office space reductions of $2.9 million represented the present value of remaining lease payments, net of estimated sublease income, primarily for our vacated office spaces in Washington, D.C., Chicago, Houston, San Francisco, and Middleton, Wisconsin. This restructuring charge liability is included as a component of accrued expenses and other current liabilities and deferred compensation and other liabilities. All of the $0.6 million restructuring charge liability related to employee costs at September 30, 2018 is expected to be paid in the next 12 months. The restructuring charge liability related to employee costs is included as a component of accrued payroll and related benefits.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 and Hedging Activity</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and reclassified into interest expense upon settlement. As of September 30, 2018, it was anticipated that $0.3 million of the gains, net of tax, currently recorded in accumulated other comprehensive income will be reclassified into earnings within the next 12 months.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 designated as a cash flow hedging instrument as of September 30, 2018 and December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Fair Value (Derivative Asset and Liability)</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66"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2018 and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45,948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45,948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20,352</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45,948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67,942</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12,889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12,889</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w:t>
            </w: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2017</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39,904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39,904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17,786</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59,301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22,828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22,828</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a discount rate reflecting the risks involved.</w:t>
      </w:r>
    </w:p>
    <w:p>
      <w:pPr>
        <w:spacing w:after="0" w:line="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As part of the consideration received for the sale of our Accounting Advisory practice on December 30, 2011, we received a promissory</w:t>
      </w:r>
      <w:r>
        <w:rPr>
          <w:rFonts w:ascii="Arial" w:cs="Arial" w:eastAsia="Arial" w:hAnsi="Arial"/>
          <w:sz w:val="16"/>
          <w:szCs w:val="16"/>
          <w:i w:val="1"/>
          <w:iCs w:val="1"/>
          <w:color w:val="auto"/>
        </w:rPr>
        <w:t xml:space="preserve"> </w:t>
      </w:r>
      <w:r>
        <w:rPr>
          <w:rFonts w:ascii="Arial" w:cs="Arial" w:eastAsia="Arial" w:hAnsi="Arial"/>
          <w:sz w:val="16"/>
          <w:szCs w:val="16"/>
          <w:color w:val="auto"/>
        </w:rPr>
        <w:t>note with an initial principal amount of $3.5 million payable over four years. During the fourth quarter of 2017, we amended and restated the note which established scheduled annual principal payments, increased the interest rate, reduced the outstanding principal amount by $0.5 million, and extended the maturity date to September 30, 2020. As of December 31, 2017, the outstanding principal balance was $1.0 million. During the first six months of 2018, we received payments for all of the outstanding principal balance and all accrued interest. Prior to the final payment, the fair value of the note was based on the net present value of the projected cash flows using a discount rate of 10%, which accounted for the risks associated with the amended note. This fair value measurement was based on significant inputs not observable in the market and thus represent Level 3 inputs.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nine months ended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notes are not in-substance common stock that would warrant equity method accounting. After we reviewed all of the terms of the investment, we concluded the appropriate accounting treatment to be that of an available-for-sale debt security.</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convertible debt investment is carried at fair value with unrealized holding gains and losses excluded from earnings and reported in other comprehensive income. We estimate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 on our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nine months ended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6,044</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45,948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Deferred compensation assets: </w:t>
      </w:r>
      <w:r>
        <w:rPr>
          <w:rFonts w:ascii="Arial" w:cs="Arial" w:eastAsia="Arial" w:hAnsi="Arial"/>
          <w:sz w:val="17"/>
          <w:szCs w:val="17"/>
          <w:color w:val="auto"/>
        </w:rPr>
        <w:t>We have a non-qualified deferred compensation plan (the "Plan") for the members of our board of directors and a select group</w:t>
      </w:r>
      <w:r>
        <w:rPr>
          <w:rFonts w:ascii="Arial" w:cs="Arial" w:eastAsia="Arial" w:hAnsi="Arial"/>
          <w:sz w:val="17"/>
          <w:szCs w:val="17"/>
          <w:i w:val="1"/>
          <w:iCs w:val="1"/>
          <w:color w:val="auto"/>
        </w:rPr>
        <w:t xml:space="preserve"> </w:t>
      </w:r>
      <w:r>
        <w:rPr>
          <w:rFonts w:ascii="Arial" w:cs="Arial" w:eastAsia="Arial" w:hAnsi="Arial"/>
          <w:sz w:val="17"/>
          <w:szCs w:val="17"/>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Contingent consideration for business acquisitions: </w:t>
      </w:r>
      <w:r>
        <w:rPr>
          <w:rFonts w:ascii="Arial" w:cs="Arial" w:eastAsia="Arial" w:hAnsi="Arial"/>
          <w:sz w:val="17"/>
          <w:szCs w:val="17"/>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The table below sets forth the changes in the balance of the contingent consideration for business acquisitions for the nine months ended September 30,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September 30, 2018</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12,889</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240,209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241,650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232,578</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differences between the $250 million principal amount of the Convertible Notes and the carrying amounts shown above represent the unamortized debt discount and issuance costs. As of September 30, 2018 and December 31, 2017,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September 30, 2018 and December 31, 2017.</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the closing price of our common stock of $49.40 on September 30, 2018,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tables below set forth the components of other comprehensive income (loss), net of tax, for the three and nine months ended September 30,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9"/>
              </w:rPr>
              <w:t>September 30, 2018</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9"/>
              </w:rPr>
              <w:t>September 30, 2017</w:t>
            </w: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of</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Before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Taxes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53"/>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Nine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Nine Months Ended</w:t>
            </w: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September 30, 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September 30, 2017</w:t>
            </w: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1,835</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3,795</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the three months ended September 30, 2018, our effective tax rate was 14.4% as we recognized income tax expense from continuing operations of $1.4 million on income from continuing operations of $9.6 million. The effective tax rate of 14.4% was more favorable than the statutory rate, inclusive of state income taxes, of 26.0%, primarily due to a discrete tax benefit of $0.8 million for U.S. federal return to provision adjustments related to the 2017 corporate income tax return, which had a favorable impact of 8.6% on the effective tax rate. In addition, the third quarter of 2018 included a discrete tax benefit of $0.4 million for foreign return to provision adjustments, which had a favorable impact of 3.7% on the effective tax rate. For the three months ended September 30, 2017, we recognized income tax benefit from continuing operations of $2.0 million on income from continuing operations of $2.1 million, which resulted in an effective tax rate of (92.4)%. This rate was more favorable than the statutory rate, inclusive of state income taxes, primarily due to recognizing a $2.7 million tax benefit related to a previously unrecognized tax benefit from our "check-the-box" election made in 2014 to treat one of our wholly-owned foreign subsidiaries as a disregarded entity for U.S federal income tax purposes. This benefit was partially offset by $0.6 million of tax expense recorded in the third quarter of 2017 to correct an error that occurred in the second quarter of 2017.</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nine months ended September 30, 2018, our effective tax rate was 28.6% as we recognized income tax expense from continuing operations of $4.4 million on income from continuing operations of $15.3 million. The effective tax rate for the nine months ended September 30, 2018 was less favorable than the statutory rate, inclusive of state income taxes, of 26.0%, primarily due to discrete tax expense of $1.2 million for share-based compensation awards that vested during the first quarter of 2018, which had an unfavorable impact of 8.1% on the effective tax rate. This unfavorable discrete item was partially offset by a $0.9 million tax benefit recorded in the third quarter of 2018 related to U.S. federal and foreign return to provision adjustments, which had a favorable impact of 6.1% on the effective tax rate. For the nine months ended September 30, 2017, our effective tax rate was 26.1% as we recognized income tax benefit from continuing operations of $49.7 million on a loss from continuing operations of $190.9 million. The effective tax rate for the nine months ended September 30, 2017 was less favorable than the statutory rate, inclusive of state income taxes, primarily due to the $61.2 million non-deductible portion of the goodwill impairment charge recorded in the second quarter of 2017, as well as $1.8 million of discrete tax expense for share-based compensation. These unfavorable discrete items were partially offset by a $2.7 million tax benefit recorded in the third quarter of 2017 related to a previously unrecognized tax benefit from our 2014 "check-the-box" election.</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22, 2017, the President of the United States signed into law the Tax Cuts and Jobs Act ("2017 Tax Reform"), a tax reform bill which, among other items, reduced the corporate federal income tax rate from 35% to 21% and moved from a worldwide tax system to a territorial system. During the fourth quarter of 2017, we estimated the remeasurement of our net deferred taxes based on the new lower rate, as well as provided for additional one-time income tax expense estimates primarily related to the transition tax on accumulated foreign earnings and elimination of foreign tax credits for dividends that are subject to the 100 percent exemption. During the three and nine months ended September 30, 2018, we recorded a tax benefit of $0.7 million and $0.6 million, respectively, primarily related to the U.S. federal return to provision adjustments for the remeasurement of our net deferred taxes based on the new lower rate. We continue to analyze the impact of the 2017 Tax Reform, and, in accordance with Staff Accounting Bulletin No. 118, which was issued as a result of the 2017 Tax Reform, we will finalize the analysis no later than one year from the enactment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second quarter of 2018, we reached a settlement agreement related to Huron's claim in a class action lawsuit, resulting in a gain of $2.5 million, which is recorded in other losses (gains), net on our consolidated statement of operations. We collected the $2.5 million cash settlement during the second quarter of 2018.</w:t>
      </w:r>
    </w:p>
    <w:p>
      <w:pPr>
        <w:spacing w:after="0" w:line="12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Guarantees in the form of letters of credit totaling $1.6 million and $1.9 million were outstanding at September 30, 2018 and December 31, 2017, primarily to support certain office lease obligations.</w:t>
      </w:r>
    </w:p>
    <w:p>
      <w:pPr>
        <w:spacing w:after="0" w:line="116" w:lineRule="exact"/>
        <w:rPr>
          <w:sz w:val="20"/>
          <w:szCs w:val="20"/>
          <w:color w:val="auto"/>
        </w:rPr>
      </w:pPr>
    </w:p>
    <w:p>
      <w:pPr>
        <w:ind w:left="60" w:right="8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September 30, 2018 and December 31, 2017, the total estimated fair value of our contingent consideration liabilities was $12.9 million and $22.8 million, respectively.</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b w:val="1"/>
          <w:bCs w:val="1"/>
          <w:color w:val="auto"/>
        </w:rPr>
      </w:pPr>
    </w:p>
    <w:p>
      <w:pPr>
        <w:ind w:left="660" w:right="2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data that transforms care delivery and improves patient outcomes. We also develop future leaders capable of driving meaningful operational and organizational change and who transform the patient experience.</w:t>
      </w:r>
    </w:p>
    <w:p>
      <w:pPr>
        <w:spacing w:after="0" w:line="1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19"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nine months ended September 30, 2018 and 2017, along with the items necessary to reconcile the segment information to the totals reported in the accompanying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90,417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79,582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271,812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261,261</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26,640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78,172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83,580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57,175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55,372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170,790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157,753</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34,890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50,856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41,422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147,069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127,629</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37,694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31,772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198,448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176,376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589,671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546,643</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59,648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55,862</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219,744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194,358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649,319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602,505</w:t>
            </w:r>
          </w:p>
        </w:tc>
      </w:tr>
      <w:tr>
        <w:trPr>
          <w:trHeight w:val="67"/>
        </w:trPr>
        <w:tc>
          <w:tcPr>
            <w:tcW w:w="53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1"/>
        </w:trPr>
        <w:tc>
          <w:tcPr>
            <w:tcW w:w="5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53,469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46,372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150,897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150,242</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30,460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94,585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92,643</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28,549</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19,767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10,607</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15,254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(190,935)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nine months ended September 30,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9"/>
          </w:tcPr>
          <w:p>
            <w:pPr>
              <w:jc w:val="right"/>
              <w:spacing w:after="0"/>
              <w:rPr>
                <w:sz w:val="20"/>
                <w:szCs w:val="20"/>
                <w:color w:val="auto"/>
              </w:rPr>
            </w:pPr>
            <w:r>
              <w:rPr>
                <w:rFonts w:ascii="Arial" w:cs="Arial" w:eastAsia="Arial" w:hAnsi="Arial"/>
                <w:sz w:val="18"/>
                <w:szCs w:val="18"/>
                <w:b w:val="1"/>
                <w:bCs w:val="1"/>
                <w:color w:val="auto"/>
              </w:rPr>
              <w:t>Three months ended September 30, 2018</w:t>
            </w:r>
          </w:p>
        </w:tc>
        <w:tc>
          <w:tcPr>
            <w:tcW w:w="82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60,462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93,850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8,312</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10,712</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90,417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198,448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36,784</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198,448</w:t>
            </w:r>
          </w:p>
        </w:tc>
      </w:tr>
      <w:tr>
        <w:trPr>
          <w:trHeight w:val="2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88,372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50,104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195,651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90,417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198,448</w:t>
            </w:r>
          </w:p>
        </w:tc>
      </w:tr>
      <w:tr>
        <w:trPr>
          <w:trHeight w:val="459"/>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9"/>
          </w:tcPr>
          <w:p>
            <w:pPr>
              <w:jc w:val="right"/>
              <w:ind w:right="10"/>
              <w:spacing w:after="0"/>
              <w:rPr>
                <w:sz w:val="20"/>
                <w:szCs w:val="20"/>
                <w:color w:val="auto"/>
              </w:rPr>
            </w:pPr>
            <w:r>
              <w:rPr>
                <w:rFonts w:ascii="Arial" w:cs="Arial" w:eastAsia="Arial" w:hAnsi="Arial"/>
                <w:sz w:val="18"/>
                <w:szCs w:val="18"/>
                <w:b w:val="1"/>
                <w:bCs w:val="1"/>
                <w:color w:val="auto"/>
              </w:rPr>
              <w:t>Nine months ended September 30, 2018</w:t>
            </w:r>
          </w:p>
        </w:tc>
        <w:tc>
          <w:tcPr>
            <w:tcW w:w="820" w:type="dxa"/>
            <w:vAlign w:val="bottom"/>
          </w:tcPr>
          <w:p>
            <w:pPr>
              <w:spacing w:after="0"/>
              <w:rPr>
                <w:sz w:val="24"/>
                <w:szCs w:val="24"/>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182,491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28,699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281,293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245,131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30,893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32,354</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271,812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170,790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589,671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474,997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114,674</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589,671</w:t>
            </w:r>
          </w:p>
        </w:tc>
      </w:tr>
      <w:tr>
        <w:trPr>
          <w:trHeight w:val="2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266,320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170,790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144,118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581,228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8,443</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271,812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170,790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589,671</w:t>
            </w:r>
          </w:p>
        </w:tc>
      </w:tr>
    </w:tbl>
    <w:p>
      <w:pPr>
        <w:spacing w:after="0" w:line="121" w:lineRule="exact"/>
        <w:rPr>
          <w:sz w:val="20"/>
          <w:szCs w:val="20"/>
          <w:color w:val="auto"/>
        </w:rPr>
      </w:pPr>
    </w:p>
    <w:p>
      <w:pPr>
        <w:ind w:left="660" w:right="2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our cultural transformation consultants within our Studer Group solution, which include coaches and their support staff, as well as consultants who work variable schedules as needed by our clients and full-time employees who provide software support and maintenance services to our clients.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2018 and December 31, 2017, no single client accounted for greater than 10% of our combined receivables and unbilled services balances.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2018 and 2017, no single client generated greater than 10% of our consolidated revenues.</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2017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71" w:lineRule="exact"/>
        <w:rPr>
          <w:rFonts w:ascii="Arial" w:cs="Arial" w:eastAsia="Arial" w:hAnsi="Arial"/>
          <w:sz w:val="18"/>
          <w:szCs w:val="18"/>
          <w:b w:val="1"/>
          <w:bCs w:val="1"/>
          <w:color w:val="auto"/>
        </w:rPr>
      </w:pPr>
    </w:p>
    <w:p>
      <w:pPr>
        <w:ind w:left="660"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04"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71" w:lineRule="exact"/>
        <w:rPr>
          <w:rFonts w:ascii="Arial" w:cs="Arial" w:eastAsia="Arial" w:hAnsi="Arial"/>
          <w:sz w:val="18"/>
          <w:szCs w:val="18"/>
          <w:color w:val="auto"/>
        </w:rPr>
      </w:pPr>
    </w:p>
    <w:p>
      <w:pPr>
        <w:ind w:left="660" w:right="100"/>
        <w:spacing w:after="0" w:line="270"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ectPr>
          <w:pgSz w:w="11900" w:h="16838" w:orient="portrait"/>
          <w:cols w:equalWidth="0" w:num="1">
            <w:col w:w="11360"/>
          </w:cols>
          <w:pgMar w:left="240" w:top="125" w:right="29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125" w:right="2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71"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Huron is a Platinum level member of the Oracle PartnerNetwork, an Oracle Cloud Premier Partner within North America, a Workday Services Partner, and a Gold level consulting partner with Salesforce.com.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In these engagements, it is the client’s expectation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Fixed-fee engagements represented 47.3% and 46.5% of our revenues for the three months ended September 30, 2018 and 2017, respectively, and 47.7% and 45.9% of our revenues for the nine months ended September 30, 2018 and 2017, respectively.</w:t>
      </w:r>
    </w:p>
    <w:p>
      <w:pPr>
        <w:spacing w:after="0" w:line="1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43.1% and 43.9% of our revenues for the three months ended September 30, 2018 and 2017, respectively, and 41.6% and 44.4% of our revenues for the nine months ended September 30, 2018 and 2017, respectively.</w:t>
      </w:r>
    </w:p>
    <w:p>
      <w:pPr>
        <w:spacing w:after="0" w:line="10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w:t>
      </w:r>
    </w:p>
    <w:p>
      <w:pPr>
        <w:sectPr>
          <w:pgSz w:w="11900" w:h="16838" w:orient="portrait"/>
          <w:cols w:equalWidth="0" w:num="1">
            <w:col w:w="11400"/>
          </w:cols>
          <w:pgMar w:left="240" w:top="125"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5"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based engagements in which we earn a success fee when and if certain predefined outcomes occur. Often, performance-based fees supplement our fixed-fee or time-and-expense engagements. Effective January 1, 2018, we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on a modified retrospective basis and began recognizing revenues under performance-based billing arrangements by estimating the amount of variable consideration that is probable of being earned and recognizing that estimate over the length of the contract using a proportionate performance approach. Prior to adopting ASC 606 in 2018, we recognized revenues under performance-based billing arrangements when all related performance criteria were met. Refer to Note 2 "Basis of Presentation" and Note 3 "New Accounting Pronouncements" within the notes to the consolidated financial statements for additional information on our adoption of ASC 606. Performance-based fee revenues represented 4.2% and 4.0% of our revenues for the three months ended September 30, 2018 and 2017, respectively, and 5.2% and 4.4% of our revenues for the nine months ended September 30, 2018 and 2017, respectively. Refer to our Segment Results discussed below for additional information on the impact of ASC 606 on our performance-based fee revenues.</w:t>
      </w:r>
    </w:p>
    <w:p>
      <w:pPr>
        <w:spacing w:after="0" w:line="11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 Software support, maintenance and subscription revenues represented 5.4% and 5.6% of our revenues for the three months ended September 30, 2018 and 2017, respectively, and 5.5% and 5.3% of our revenues for the nine months ended September 30, 2018 and 2017, respectively.</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right="1120"/>
        <w:spacing w:after="0" w:line="347" w:lineRule="auto"/>
        <w:rPr>
          <w:sz w:val="20"/>
          <w:szCs w:val="20"/>
          <w:color w:val="auto"/>
        </w:rPr>
      </w:pPr>
      <w:r>
        <w:rPr>
          <w:rFonts w:ascii="Arial" w:cs="Arial" w:eastAsia="Arial" w:hAnsi="Arial"/>
          <w:sz w:val="15"/>
          <w:szCs w:val="15"/>
          <w:b w:val="1"/>
          <w:bCs w:val="1"/>
          <w:color w:val="auto"/>
        </w:rPr>
        <w:t>Segment and Consolidated Operating Results (in thousands, except per share amounts):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940" w:type="dxa"/>
            <w:vAlign w:val="bottom"/>
          </w:tcPr>
          <w:p>
            <w:pPr>
              <w:spacing w:after="0"/>
              <w:rPr>
                <w:sz w:val="20"/>
                <w:szCs w:val="20"/>
                <w:color w:val="auto"/>
              </w:rPr>
            </w:pPr>
          </w:p>
        </w:tc>
        <w:tc>
          <w:tcPr>
            <w:tcW w:w="214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20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0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2017</w:t>
            </w:r>
          </w:p>
        </w:tc>
      </w:tr>
      <w:tr>
        <w:trPr>
          <w:trHeight w:val="27"/>
        </w:trPr>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-8255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640" w:space="720"/>
            <w:col w:w="60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90,417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79,582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271,812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261,261</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83,580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57,175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55,372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170,790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157,753</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34,890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50,856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41,422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147,069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127,629</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31,772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198,448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176,376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589,671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546,643</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59,648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55,862</w:t>
            </w:r>
          </w:p>
        </w:tc>
      </w:tr>
      <w:tr>
        <w:trPr>
          <w:trHeight w:val="237"/>
        </w:trPr>
        <w:tc>
          <w:tcPr>
            <w:tcW w:w="536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219,744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194,358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649,319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602,505</w:t>
            </w:r>
          </w:p>
        </w:tc>
      </w:tr>
      <w:tr>
        <w:trPr>
          <w:trHeight w:val="67"/>
        </w:trPr>
        <w:tc>
          <w:tcPr>
            <w:tcW w:w="53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53,469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46,372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150,897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150,242</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30,460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94,585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92,643</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28,549</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35,021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(180,328)</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(10,607)</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(190,935)</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(49,740)</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8,249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(141,195)</w:t>
            </w: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from continuing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(6.59)</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r>
      <w:tr>
        <w:trPr>
          <w:trHeight w:val="27"/>
        </w:trPr>
        <w:tc>
          <w:tcPr>
            <w:tcW w:w="5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r>
      <w:tr>
        <w:trPr>
          <w:trHeight w:val="27"/>
        </w:trPr>
        <w:tc>
          <w:tcPr>
            <w:tcW w:w="54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761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830</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536</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2,127</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 xml:space="preserve">Average number of full-time billable consultants (for the period) </w:t>
            </w:r>
            <w:r>
              <w:rPr>
                <w:rFonts w:ascii="Arial" w:cs="Arial" w:eastAsia="Arial" w:hAnsi="Arial"/>
                <w:sz w:val="21"/>
                <w:szCs w:val="21"/>
                <w:b w:val="1"/>
                <w:bCs w:val="1"/>
                <w:color w:val="auto"/>
                <w:w w:val="93"/>
                <w:vertAlign w:val="superscript"/>
              </w:rPr>
              <w:t>(2)</w:t>
            </w:r>
            <w:r>
              <w:rPr>
                <w:rFonts w:ascii="Arial" w:cs="Arial" w:eastAsia="Arial" w:hAnsi="Arial"/>
                <w:sz w:val="18"/>
                <w:szCs w:val="18"/>
                <w:b w:val="1"/>
                <w:bCs w:val="1"/>
                <w:color w:val="auto"/>
                <w:w w:val="93"/>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710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497</w:t>
            </w:r>
          </w:p>
        </w:tc>
      </w:tr>
      <w:tr>
        <w:trPr>
          <w:trHeight w:val="237"/>
        </w:trPr>
        <w:tc>
          <w:tcPr>
            <w:tcW w:w="5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207</w:t>
            </w: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r>
      <w:tr>
        <w:trPr>
          <w:trHeight w:val="270"/>
        </w:trPr>
        <w:tc>
          <w:tcPr>
            <w:tcW w:w="5420" w:type="dxa"/>
            <w:vAlign w:val="bottom"/>
            <w:gridSpan w:val="2"/>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1"/>
                <w:szCs w:val="21"/>
                <w:color w:val="auto"/>
                <w:vertAlign w:val="superscript"/>
              </w:rPr>
              <w:t>(5)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206</w:t>
            </w: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226</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(6)</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37"/>
        </w:trPr>
        <w:tc>
          <w:tcPr>
            <w:tcW w:w="5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427</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419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420</w:t>
            </w:r>
          </w:p>
        </w:tc>
      </w:tr>
      <w:tr>
        <w:trPr>
          <w:trHeight w:val="27"/>
        </w:trPr>
        <w:tc>
          <w:tcPr>
            <w:tcW w:w="5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right="320" w:hanging="532"/>
        <w:spacing w:after="0" w:line="317"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non-cash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100" w:hanging="532"/>
        <w:spacing w:after="0" w:line="26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120" w:hanging="532"/>
        <w:spacing w:after="0" w:line="26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Beginning in the third quarter of 2018, the average billing rate per hour excludes the number of hours charged on internal assignments by consultants within Huron Eurasia India to provide a more meaningful average billing rate charged to external clients. Prior year periods have been revised for consistent presentation.</w:t>
      </w:r>
    </w:p>
    <w:p>
      <w:pPr>
        <w:spacing w:after="0" w:line="19" w:lineRule="exact"/>
        <w:rPr>
          <w:sz w:val="20"/>
          <w:szCs w:val="20"/>
          <w:color w:val="auto"/>
        </w:rPr>
      </w:pPr>
    </w:p>
    <w:p>
      <w:pPr>
        <w:ind w:left="580" w:right="180" w:firstLine="648"/>
        <w:spacing w:after="0" w:line="257" w:lineRule="auto"/>
        <w:rPr>
          <w:sz w:val="20"/>
          <w:szCs w:val="20"/>
          <w:color w:val="auto"/>
        </w:rPr>
      </w:pPr>
      <w:r>
        <w:rPr>
          <w:rFonts w:ascii="Arial" w:cs="Arial" w:eastAsia="Arial" w:hAnsi="Arial"/>
          <w:sz w:val="18"/>
          <w:szCs w:val="18"/>
          <w:color w:val="auto"/>
        </w:rPr>
        <w:t>Absent the hours worked by the Huron Eurasia India consultants on internal assignments, the average billing rate per hour for Business Advisory for the first, second, and third quarters of 2018 were $209, $215, and $213, respectively; compared to $209, $203, and $209 for the same prior year periods. The average billing rate per hour for Business Advisory for both the six months ended June 30, 2018 and the nine months ended September 30, 2018 was $212; compared to $206 and $207 for the six months ended June 30, 2017 and the nine months ended September 30, 2017, respectively.</w:t>
      </w:r>
    </w:p>
    <w:p>
      <w:pPr>
        <w:sectPr>
          <w:pgSz w:w="11900" w:h="16838" w:orient="portrait"/>
          <w:cols w:equalWidth="0" w:num="1">
            <w:col w:w="11420"/>
          </w:cols>
          <w:pgMar w:left="240" w:top="125" w:right="239" w:bottom="366"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366"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right="100" w:firstLine="648"/>
        <w:spacing w:after="0" w:line="279" w:lineRule="auto"/>
        <w:rPr>
          <w:sz w:val="20"/>
          <w:szCs w:val="20"/>
          <w:color w:val="auto"/>
        </w:rPr>
      </w:pPr>
      <w:r>
        <w:rPr>
          <w:rFonts w:ascii="Arial" w:cs="Arial" w:eastAsia="Arial" w:hAnsi="Arial"/>
          <w:sz w:val="17"/>
          <w:szCs w:val="17"/>
          <w:color w:val="auto"/>
        </w:rPr>
        <w:t>Absent the hours worked by the Huron Eurasia India consultants on internal assignments, Huron's consolidated average billing rate per hour for the first, second, and third quarters of 2018 were $206, $205, and $210, respectively; compared to $219, $199, and $202 for the same prior year periods. Huron's consolidated average billing rate per hour for the six months ended June 30, 2018 and the nine months ended September 30, 2018 was $205 and $207, respectively; compared to $209 and $206 for the same prior year periods.</w:t>
      </w:r>
    </w:p>
    <w:p>
      <w:pPr>
        <w:spacing w:after="0" w:line="9" w:lineRule="exact"/>
        <w:rPr>
          <w:sz w:val="20"/>
          <w:szCs w:val="20"/>
          <w:color w:val="auto"/>
        </w:rPr>
      </w:pPr>
    </w:p>
    <w:p>
      <w:pPr>
        <w:ind w:left="540" w:right="60" w:hanging="532"/>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198,448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176,376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589,671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546,643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8,249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8"/>
              </w:rPr>
              <w:t>(141,195)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(49,740)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9,570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29,476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36,937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1"/>
              </w:rPr>
              <w:t>Earnings (loss) before interest, taxes, depreciation and amortization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23,838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19,631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59,366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0"/>
              <w:spacing w:after="0" w:line="205" w:lineRule="exact"/>
              <w:rPr>
                <w:sz w:val="20"/>
                <w:szCs w:val="20"/>
                <w:color w:val="auto"/>
              </w:rPr>
            </w:pPr>
            <w:r>
              <w:rPr>
                <w:rFonts w:ascii="Arial" w:cs="Arial" w:eastAsia="Arial" w:hAnsi="Arial"/>
                <w:sz w:val="18"/>
                <w:szCs w:val="18"/>
                <w:color w:val="auto"/>
                <w:w w:val="98"/>
              </w:rPr>
              <w:t>(140,187)</w:t>
            </w: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Loss (gain) on sale of businesses</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24,735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63,100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73,106</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9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losses (gains), net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209,600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Loss (gain) on sale of businesses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(70,362)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4"/>
              </w:rPr>
              <w:t>Tax expense related to the enactment of Tax Cut and Jobs Act of 2017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benefit related to "check-the-box" election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37"/>
        </w:trPr>
        <w:tc>
          <w:tcPr>
            <w:tcW w:w="5620" w:type="dxa"/>
            <w:vAlign w:val="bottom"/>
          </w:tcPr>
          <w:p>
            <w:pPr>
              <w:ind w:left="60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172,917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Other losses (gains), net: </w:t>
      </w:r>
      <w:r>
        <w:rPr>
          <w:rFonts w:ascii="Arial" w:cs="Arial" w:eastAsia="Arial" w:hAnsi="Arial"/>
          <w:sz w:val="16"/>
          <w:szCs w:val="16"/>
          <w:color w:val="auto"/>
        </w:rPr>
        <w:t>We have excluded the effects of the litigation settlement gain recorded in the second quarter of 2018 and net remeasurement gains</w:t>
      </w:r>
      <w:r>
        <w:rPr>
          <w:rFonts w:ascii="Arial" w:cs="Arial" w:eastAsia="Arial" w:hAnsi="Arial"/>
          <w:sz w:val="16"/>
          <w:szCs w:val="16"/>
          <w:i w:val="1"/>
          <w:iCs w:val="1"/>
          <w:color w:val="auto"/>
        </w:rPr>
        <w:t xml:space="preserve"> </w:t>
      </w:r>
      <w:r>
        <w:rPr>
          <w:rFonts w:ascii="Arial" w:cs="Arial" w:eastAsia="Arial" w:hAnsi="Arial"/>
          <w:sz w:val="16"/>
          <w:szCs w:val="16"/>
          <w:color w:val="auto"/>
        </w:rPr>
        <w:t>and losses related to contingent acquisition liabilities to permit comparability with periods that were not impacted by these items.</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Goodwill impairment charge: </w:t>
      </w:r>
      <w:r>
        <w:rPr>
          <w:rFonts w:ascii="Arial" w:cs="Arial" w:eastAsia="Arial" w:hAnsi="Arial"/>
          <w:sz w:val="18"/>
          <w:szCs w:val="18"/>
          <w:color w:val="auto"/>
        </w:rPr>
        <w:t>We have excluded the effect of the goodwill impairment charge recorded in the second quarter of 2017 as this is an infrequent</w:t>
      </w:r>
      <w:r>
        <w:rPr>
          <w:rFonts w:ascii="Arial" w:cs="Arial" w:eastAsia="Arial" w:hAnsi="Arial"/>
          <w:sz w:val="18"/>
          <w:szCs w:val="18"/>
          <w:i w:val="1"/>
          <w:iCs w:val="1"/>
          <w:color w:val="auto"/>
        </w:rPr>
        <w:t xml:space="preserve"> </w:t>
      </w:r>
      <w:r>
        <w:rPr>
          <w:rFonts w:ascii="Arial" w:cs="Arial" w:eastAsia="Arial" w:hAnsi="Arial"/>
          <w:sz w:val="18"/>
          <w:szCs w:val="18"/>
          <w:color w:val="auto"/>
        </w:rPr>
        <w:t>event and its exclusion permits comparability with periods that were not impacted by such charge.</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Loss (gain) on sale of businesses: </w:t>
      </w:r>
      <w:r>
        <w:rPr>
          <w:rFonts w:ascii="Arial" w:cs="Arial" w:eastAsia="Arial" w:hAnsi="Arial"/>
          <w:sz w:val="18"/>
          <w:szCs w:val="18"/>
          <w:color w:val="auto"/>
        </w:rPr>
        <w:t>We have excluded the effect of the loss on the sale of the Middle East practice within the Business Advisory segment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2018 and the gain on the sale of Life Sciences Compliance and Operations in the second quarter of 2017, as these divestitures are infrequent and are not indicative of the ongoing performance of our business.</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Tax expense related to the enactment of Tax Cuts and Jobs Act of 2017 ("2017 Tax Reform"): </w:t>
      </w:r>
      <w:r>
        <w:rPr>
          <w:rFonts w:ascii="Arial" w:cs="Arial" w:eastAsia="Arial" w:hAnsi="Arial"/>
          <w:sz w:val="17"/>
          <w:szCs w:val="17"/>
          <w:color w:val="auto"/>
        </w:rPr>
        <w:t>We have excluded the impact of the 2017 Tax Reform,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enacted in the fourth quarter of 2017. In the first quarter of 2018, we recorded an adjustment to our estimated one-time income tax expense related to the transition tax on accumulated foreign earnings; and in the third quarter of 2018, we recorded a U.S. federal return to provision adjustment related to 2017 Tax Reform items on our 2017 corporate tax return. The exclusion of the 2017 Tax Reform impact permits comparability with prior periods. Refer to Note 13 “Income Taxes” within the notes to the consolidated financial statements for additional information.</w:t>
      </w:r>
    </w:p>
    <w:p>
      <w:pPr>
        <w:spacing w:after="0" w:line="1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Tax benefit related to "check-the-box" election: </w:t>
      </w:r>
      <w:r>
        <w:rPr>
          <w:rFonts w:ascii="Arial" w:cs="Arial" w:eastAsia="Arial" w:hAnsi="Arial"/>
          <w:sz w:val="17"/>
          <w:szCs w:val="17"/>
          <w:color w:val="auto"/>
        </w:rPr>
        <w:t>We have excluded the effect of a tax benefit, recorded in the third quarter of 2017, from recognizing a</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unrecognized tax benefit from our "check-the-box" election made in 2014 to treat one of our wholly-owned foreign subsidiaries as a disregarded entity for U.S. federal income tax purposes. The exclusion of this discrete tax benefit permits comparability with periods that were not impacted by this item. Refer to Note 13 “Income Taxes” within the notes to the consolidated financial statements for additional information.</w:t>
      </w:r>
    </w:p>
    <w:p>
      <w:pPr>
        <w:sectPr>
          <w:pgSz w:w="11900" w:h="16838" w:orient="portrait"/>
          <w:cols w:equalWidth="0" w:num="1">
            <w:col w:w="11420"/>
          </w:cols>
          <w:pgMar w:left="240" w:top="125" w:right="239" w:bottom="1027"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027"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nine months ended September 30, 2017,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nine months ended September 30, 2017, the non-GAAP adjustments described above resulted in an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$22.1 million, or 12.5%, to $198.4 million for the third quarter of 2018 from $176.4 million for the third quarter of 2017.</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On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a modified retrospective basis, which resulted in changes to our accounting policy for revenue recognition, most notably for performance-based billing arrangements. During the third quarter of 2018, performance-based fee revenue was $8.3 million compared to $7.0 million in the same prior year period. Refer to Note 2 "Basis of Presentation" and Note 3 "New Accounting Pronouncements" within the notes to our consolidated financial statements for additional information on our adoption of ASC 606.</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overall $22.1 million increase in revenues, $21.5 million was attributable to an increase in revenues from our full-time billable consultants and $0.6 million was attributable to an increase in revenues from our full-time equivalents.</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full-time billable consultant revenues reflected strengthened demand for services in all of our segments, as discussed below in Segment Results, and was primarily attributable to increases in the average number of billable consultants, the average billing rate, and the consultant utilization rate for the third quarter of 2018 compared to the same prior year period.</w:t>
      </w:r>
    </w:p>
    <w:p>
      <w:pPr>
        <w:spacing w:after="0" w:line="1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increase in full-time equivalent revenues was primarily attributable to an increase in full-time equivalent revenues in our Education segment, partially offset by a decrease in full-time equivalent revenues in our Healthcare segment, as discussed below in Segment Results; and reflected an increase in the average number of full-time equivalents, partially offset by a decrease in revenue per full-time equivalent.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$13.2 million, or 11.3%, to $129.6 million in the three months ended September 30, 2018, from $116.4 million in the three months ended September 30, 2017. The $13.2 million increase primarily related to a $9.5 million increase in performance bonus expense for our revenue-generating professionals and a $5.8 million increase in salaries and related expenses for our revenue-generating professionals, which was largely driven by increased headcount in our Healthcare and Education segments during the third quarter of 2018 compared to the third quarter of 2017. These increases were partially offset by a $1.8 million decrease in amortization expense for intangible assets and a $0.7 million decrease in contractor expense during the third quarter of 2018 compared to the same prior year period. As a percentage of revenues, our total direct costs decreased to 65.3% during the third quarter of 2018 compared to 66.0% during the third quarter of 2017, primarily due to revenue growth that outpaced the increase in salaries and related expenses for our revenue-generating professionals, the decreases in amortization expense for intangible assets and contractor expense, and a decrease in share-based compensation expense for our revenue-generating professionals. These decreases to our direct costs as a percentage of revenues were partially offset by an increase in performance bonus expense for our revenue-generating professionals, as a percentage of revenues.</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direct costs for the three months ended September 30, 2018 included $1.0 million of amortization expense for intangible assets, primarily representing customer contracts and software acquired in business combinations, and internal software development costs, compared to $2.7 million of amortization expense for the same prior year period. The $1.6 million decrease in amortization expense was primarily attributable to decreasing amortization expense of customer contracts acquired in our Studer Group acquisition, due to the accelerated basis of amortization in prior periods, as well as certain intangible assets acquired in our Studer Group acquisition which were fully amortized in prior periods. See Note 4 "Acquisitions" and Note 5 "Goodwill and Intangible Assets" within the notes to our consolidated financial statements for additional information about our intangible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Selling, general and administrative expenses increased by $4.3 million, or 10.4%, to $45.9 million in the third quarter of 2018 from $41.6 million in the third quarter of 2017. The overall $4.3 million increase primarily related to a $1.6 million increase in performance bonus expense for our support personnel, a $1.6 million increase in salaries and related expenses for our support personnel, a $0.6 million increase in promotion and marketing expenses, and a $0.5 million increase in legal expenses. As a percentage of revenues, selling, general and administrative expenses decreased to 23.1% during the third quarter of 2018 compared to 23.6% during the third quarter of 2017. This decrease was primarily due to revenue growth that outpaced the increase in salaries and related expenses for our support personnel as well as decreases in facilities expenses, share-based compensation expense for our support personnel, and outside professional services expenses, partially offset by the increase in performance bonus expense for our support personnel, as a percentage of revenues.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Restructuring charges netted to an immaterial amount for the third quarter of 2018, compared to $1.3 million for the third quarter of 2017. The restructuring charges incurred in the third quarter of 2018 consisted of a $0.4 million accrual related to employee costs in our Healthcare segment, offset by a $0.3 million decrease in the accrual for remaining lease obligations, net of estimated sublease income, as a result of updated lease assumptions for our San Francisco office vacated in the third quarter of 2017 and a $0.2 million decrease in the accrual related to workforce reductions in our Business Advisory segment recorded in the second quarter of 2018. The $1.3 million charge incurred in the third quarter of 2017 primarily consisted of the accrual of remaining lease obligations, net of estimated sublease income, due to relocating our San Francisco office to a smaller space and consolidating our New York offices in the third quarter of 2017, and accelerated depreciation on leasehold improvements for our San Francisco office. See Note 9 "Restructuring Charges" within the notes to our consolidated financial statements for additional information on our restructuring charges.</w:t>
      </w:r>
    </w:p>
    <w:p>
      <w:pPr>
        <w:spacing w:after="0" w:line="11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Other losses (gains), net totaled a net loss of $0.9 million for both the third quarter of 2018 and the third quarter of 2017. In both periods, the net loss represented net remeasurement losses due to increases in the estimated fair value of our liabilities for contingent consideration payments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Depreciation and amortization expense was $8.6 million in the three months ended September 30, 2018 compared to $9.9 million in the three months ended September 30, 2017. The $1.4 million decrease in depreciation and amortization expense was primarily attributable to decreasing amortization expense of the trade name acquired in our Studer Group acquisition, due to the accelerated basis of amortization in prior periods. Intangible asset amortization expense included within operating expenses primarily relates to the amortization of certain customer relationships, trade names, and non-compete agreements acquired in connection with our business acquisitions. See Note 4 "Acquisitions" and Note 5 "Goodwill and Intangible Assets" within the notes to our consolidated financial statements for additional information on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income increased $7.5 million to $13.6 million in the third quarter of 2018 from $6.1 million in the third quarter of 2017. Operating margin, which is defined as operating income expressed as a percentage of revenues, was 6.8% in the three months ended September 30, 2018, compared to 3.5% in the three months ended September 30, 2017. The increase in operating margin was primarily attributable to the revenue growth that outpaced the increase in salaries and related expenses for our revenue-generating professionals and support personnel, as well as decreases in amortization expense for intangible assets, restructuring charges, contractor expense, and share-based compensation for our revenue-generating professionals and support personnel. These increases to the operating margin were partially offset by the increase in performance bonus expense for our revenue-generating professionals and support personnel,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Total other expense, net slightly decreased to $3.9 million in the third quarter of 2018 from $4.0 million in the third quarter of 2017. Interest expense, net of interest income decreased $0.3 million to $4.6 million in the third quarter of 2018 from $4.9 million in the third quarter of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three months ended September 30, 2018, our effective tax rate was 14.4% as we recognized income tax expense from continuing operations of $1.4 million on income from continuing operations of $9.6 million. The effective tax rate of 14.4% was more favorable than the statutory rate, inclusive of state income taxes, of 26.0%, primarily due to a discrete tax benefit of $0.8 million for U.S. federal return to provision adjustments related to the 2017 corporate income tax return, which had a favorable impact of 8.6% on the effective tax rate. In addition, the third quarter of 2018 included a discrete tax benefit of $0.4 million for foreign return to provision adjustments, which had a favorable impact of 3.7% on the effective tax rate.</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three months ended September 30, 2017, we recognized income tax benefit from continuing operations of $2.0 million on income from continuing operations of $2.1 million, which resulted in an effective tax rate of (92.4)%. This rate for the three months ended September 30, 2017 was more favorable than the statutory rate, inclusive of state income taxes, primarily due to recognizing a $2.7 million tax benefit related to a previously unrecognized tax benefit from our "check-the-box" election made in 2014 to treat one of our wholly-owned foreign subsidiaries as a</w:t>
      </w:r>
    </w:p>
    <w:p>
      <w:pPr>
        <w:sectPr>
          <w:pgSz w:w="11900" w:h="16838" w:orient="portrait"/>
          <w:cols w:equalWidth="0" w:num="1">
            <w:col w:w="11420"/>
          </w:cols>
          <w:pgMar w:left="240" w:top="12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disregarded entity for U.S federal income tax purposes. This benefit was partially offset by $0.6 million of tax expense recorded in the third quarter of 2017 to correct an error that occurred in the second quarter of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income from continuing operations increased $4.1 million to $8.2 million for the three months ended September 30, 2018 from $4.1 million for the same period last year. As a result of the increase in net income from continuing operations, diluted income per share from continuing operations for the third quarter of 2018 was $0.37 compared to $0.19 for the third quarter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EBITDA increased $4.2 million to $23.8 million for the three months ended September 30, 2018 from $19.6 million for the three months ended September 30, 2017. Adjusted EBITDA increased $3.3 million to $24.7 million in the third quarter of 2018 from $21.5 million in the third quarter of 2017. The increase in EBITDA and adjusted EBITDA was primarily attributable to the increase in segment operating income, as discussed below in Segment Results, partially offset by an increase in other operating expenses not allocated at the segment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Adjusted net income from continuing operations increased $4.8 million to $14.1 million in the third quarter of 2018 compared to $9.3 million in the third quarter of 2017. As a result of the increase in adjusted net income from continuing operations, adjusted diluted earnings per share from continuing operations was $0.64 for the third quarter of 2018, compared to $0.43 for the third quarter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Healthcare segment revenues increased $10.8 million, or 13.6%, to $90.4 million for the third quarter of 2018 from $79.6 million for the third quarter of 2017.</w:t>
      </w:r>
    </w:p>
    <w:p>
      <w:pPr>
        <w:spacing w:after="0" w:line="11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During the three months ended September 30, 2018, revenues from fixed-fee engagements; time-and-expense engagements; performance-based arrangements; and software support, maintenance and subscription arrangements represented 66.8%, 17.4%, 9.3%, and 6.5% of this segment’s revenues, respectively, compared to 68.5%, 16.6%, 6.7%, and 8.2% of this segment’s revenues, respectively, for the same prior year period.</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the overall $10.8 million increase in revenues, $11.4 million was attributable to an increase in revenues from our full-time billable consultants, partially offset by a $0.6 million decrease in revenues generated by our full-time equivalents.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increase in revenues attributable to our full-time billable consultants reflected increases in the average billing rate, the average number of billable consultants, and the consultant utilization rate. Performance-based fee revenue was $8.4 million for the third quarter of 2018, and was recognized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was adopted on a modified retrospective basis on January 1, 2018. Performance-based fee revenue for the third quarter of 2017 was $5.3 million, and was recognized 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Refer to Note 2 "Basis of Presentation" and Note 3 "New Accounting Pronouncements" within the notes to our consolidated financial statements for additional information on our adoption of ASC 606. The level of performance-based fees earned may vary based on our clients’ risk sharing preferences and the mix of services we provide.</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revenues attributable to our full-time equivalents was primarily driven by lower revenues in our Studer Group solution, partially offset by an increased use of our part-time project consultants and contractors and an increase in license revenue; and reflected a decrease in revenue per full-time equivalent, partially offset by an increase in the average number of full-time equivalents.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Healthcare segment operating income increased $0.9 million, or 3.3%, to $26.6 million for the three months ended September 30, 2018 from $25.8 million for the three months ended September 30, 2017. The Healthcare segment operating margin, defined as segment operating income expressed as a percentage of segment revenues, decreased to 29.5% for the third quarter of 2018 from 32.4% in the same period last year. The decrease in this segment’s operating margin was primarily attributable to increases in performance bonus expense for both our revenue-generating professionals and support personnel, as well as an increase in restructuring charges. These decreases to the operating margin were partially offset by revenue growth that outpaced the increase in salaries and related expenses for our revenue-generating professionals and decreases in intangible asset amortization expense and product and event costs.</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Business Advisory segment revenues increased $1.8 million, or 3.3%, to $57.2 million for the third quarter of 2018 from $55.4 million for the third quarter of 2017.</w:t>
      </w:r>
    </w:p>
    <w:p>
      <w:pPr>
        <w:spacing w:after="0" w:line="1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During the three months ended September 30, 2018, revenues from fixed-fee engagements; time-and-expense engagements; and software support, maintenance and subscription arrangements represented 42.2%, 56.3%, and 1.5% of this segment’s revenues, respectively. During the three months ended September 30, 2017, revenues from fixed-fee engagements; time-and-expense engagements; performance-based arrangements; and software support, maintenance and subscription arrangements represented 37.5%, 57.7%, 3.0% and 1.8% of this segment’s revenues, respectively. Performance-based fee revenue was immaterial for the third quarter of 2018 and $1.7 million for the third quarter of 2017. Refer to Note 2 "Basis of Presentation" and Note 3 "New Accounting Pronouncements" within the notes to our consolidated financial statements for information on our adoption of ASC 606. The level of performance-based fees earned may vary based on our clients’ preferences and the mix of services we provide.</w:t>
      </w:r>
    </w:p>
    <w:p>
      <w:pPr>
        <w:spacing w:after="0" w:line="1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$1.8 million increase in revenues was attributable to our full-time billable consultants; and reflected increases in the average billing rate and the consultant utilization rate, partially offset by a decrease in the average number of billable consultants.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Business Advisory segment operating income decreased by $1.0 million, or 7.9%, to $11.8 million for the three months ended September 30, 2018 from</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$12.8 million for the three months ended September 30, 2017. The Business Advisory segment operating margin decreased to 20.7% for the third quarter of 2018 from 23.2% in the same period last year. The decrease in this segment’s operating margin was primarily attributable to an increase in performance bonus expense for our revenue-generating professionals, as well as an increase in practice administration and meetings expenses, both as a percentage of revenues. These decreases to the operating margin were partially offset by decreases in salaries and related expenses for our revenue-generating professionals and support personnel, contractor expense, share-based compensation expense for our revenue-generating professionals, and restructuring charges.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Education segment revenues increased $9.4 million, or 22.8%, to $50.9 million for the third quarter of 2018 from $41.4 million for the third quarter of 2017.</w:t>
      </w:r>
    </w:p>
    <w:p>
      <w:pPr>
        <w:spacing w:after="0" w:line="1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three months ended September 30, 2018, revenues from fixed-fee engagements; time-and-expense engagements; and software support, maintenance and subscription arrangements represented 18.2%, 74.0%, and 7.8% of this segment’s revenues, respectively, compared to 16.2%, 78.1%, and 5.7% of this segment’s revenues, respectively, for the same prior year period.</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the overall $9.4 million increase in revenues, $8.3 million was attributable to our full-time billable consultants and $1.1 million was attributable to our full-time equivalents. The increase in revenues attributable to our full-time billable consultants reflected increases in the average number of full-time billable consultants and the consultant utilization rate, partially offset by a decrease in the average billing rate in the third quarter of 2018 compared to the same prior year period. The increase in revenues from our full-time equivalents was driven by an increased use of our part-time project consultants and an increase in license revenues; and reflected increases in the average number of full-time equivalents and revenue per full-time equivalent in the third quarter of 2018 compared to the same prior 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Education segment operating income increased $7.3 million, or 93.4%, to $15.0 million for the three months ended September 30, 2018 from $7.8 million for the three months ended September 30, 2017. The Education segment operating margin increased to 29.5% for the third quarter of 2018 from 18.7% in the same period last year. The increase in this segment’s operating margin was primarily attributable to a decrease in performance bonus expense for our revenue-generating professionals and support personnel and revenue growth that outpaced the increase in salaries and related expenses for our revenue-generating professionals. This segment's operating margin was also favorably impacted by decreases in contractor expense, salaries and related expenses for our support personnel and share-based compensation expense for our revenue-generating professionals.</w:t>
      </w:r>
    </w:p>
    <w:p>
      <w:pPr>
        <w:spacing w:after="0" w:line="120" w:lineRule="exact"/>
        <w:rPr>
          <w:sz w:val="20"/>
          <w:szCs w:val="20"/>
          <w:color w:val="auto"/>
        </w:rPr>
      </w:pPr>
    </w:p>
    <w:p>
      <w:pPr>
        <w:ind w:right="4120"/>
        <w:spacing w:after="0" w:line="440" w:lineRule="auto"/>
        <w:rPr>
          <w:sz w:val="20"/>
          <w:szCs w:val="20"/>
          <w:color w:val="auto"/>
        </w:rPr>
      </w:pPr>
      <w:r>
        <w:rPr>
          <w:rFonts w:ascii="Arial" w:cs="Arial" w:eastAsia="Arial" w:hAnsi="Arial"/>
          <w:sz w:val="18"/>
          <w:szCs w:val="18"/>
          <w:b w:val="1"/>
          <w:bCs w:val="1"/>
          <w:color w:val="auto"/>
        </w:rPr>
        <w:t>Nine Months Ended September 30, 2018 Compared to Nine Months Ended September 30, 2017 Revenues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Revenues increased $43.0 million, or 7.9%, to $589.7 million for the first nine months of 2018 from $546.6 million for the first nine months of 2017. Revenues for the first nine months of 2018 included $6.4 million of incremental revenues due to the full period impact of our acquisition of Innosight, which was completed in March 2017.</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 xml:space="preserve">On January 1, 2018, we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a modified retrospective basis, which resulted in changes to our accounting policy for revenue recognition, most notably for performance-based billing arrangements. During the first nine months of 2018, performance-based fee revenue was $30.9 million compared to $23.8 million in the same prior year period. Refer to Note 2 "Basis of Presentation" and Note 3 "New Accounting Pronouncements" within the notes to our consolidated financial statements for additional information on our adoption of ASC 606.</w:t>
      </w:r>
    </w:p>
    <w:p>
      <w:pPr>
        <w:spacing w:after="0" w:line="10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the overall $43.0 million increase in revenues, $42.4 million was attributable to our full-time billable consultants and $0.6 million was attributable to our full-time equivalents. The increase in full-time billable consultant revenues was attributable to strengthened demand for services in all of our segments, as discussed below in Segment Results, and reflected increases in the average number of full-time billable consultants and the consultant utilization rate during the first nine months of 2018 compared to the same prior year period. The increase in full-time equivalent revenues was attributable to increases in full-time equivalent revenues in our Education and Business Advisory segments, partially offset by a decrease in full-time equivalent revenues in our Healthcare segment, as discussed below in Segment Results; and reflected an increase in the average number of full-time equivalents, partially offset by a decrease in revenue per full-time equivalent.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$40.6 million, or 11.5%, to $392.2 million for the nine months ended September 30, 2018, from $351.6 million for the nine months ended September 30, 2017. The overall $40.6 million increase primarily related to a $22.0 million increase in performance bonus expense for our revenue-generating professionals and a $21.5 million increase in salaries and related expenses for our revenue-generating professionals, which was largely driven by increased headcount in our Education and Business Advisory segments. These increases were partially offset by a $5.6 million decrease in intangible asset amortization expense. As a percentage of revenues, our total direct costs increased to 66.5% during the first nine months of 2018 compared to 64.3% during the first nine months of 2017 primarily due to the increase in performance bonus expense for our revenue-generating professionals, as a percentage of revenues, partially offset by the decrease in amortization of intangible assets.</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Total direct costs for the nine months ended September 30, 2018 included $3.2 million of amortization expense for intangible assets, primarily representing customer contracts and software acquired in business combinations, and internal software development costs, compared to $8.4 million of amortization expense for the same prior year period. The $5.2 million decrease in amortization expense was primarily attributable to the decreasing amortization expense of customer contracts acquired in our Studer Group acquisition, due to the accelerated basis of amortization in prior periods, as well as certain other intangible assets acquired in our Studer Group, HSM and Innosight acquisitions which were fully amortized. See Note 4 "Acquisitions" and Note 5 "Goodwill and Intangible Assets" within the notes to our consolidated financial statements for additional information about our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general and administrative expenses increased $6.3 million, or 4.8%, to $138.5 million in the nine months ended September 30, 2018, from $132.1 million in the nine months ended September 30, 2017. The overall $6.3 million increase was primarily related to a $5.4 million increase in performance bonus expense for our support personnel, a $1.3 million increase in practice administration and meetings expenses, a $1.1 million increase in promotion and marketing expenses, and a $0.7 million increase in salaries and related expenses for our support personnel. These increases were partially offset by a $1.1 million decrease in legal expenses and a $0.9 million decrease in travel and entertainment expenses. As a percentage of revenues, selling, general and administrative expenses decreased to 23.5% during the first nine months of 2018 compared to 24.2% during the first nine months of 2017, primarily due to revenue growth that outpaced the growth in salaries and related expenses for our support personnel and the decreases in legal expenses and travel and entertainment expenses, partially offset by the increase in performance bonus expense, as a percentage of revenues.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Restructuring charges for the first nine months of 2018 totaled $2.7 million, compared to $5.3 million for the first nine months of 2017. The charges for the first nine months of 2018 primarily consisted of $0.7 million related to the accrual of remaining lease payments, net of estimated sublease income, and accelerated depreciation on leasehold improvements due to exiting a portion of our Middleton, Wisconsin office in the second quarter of 2018; $0.7 million and $0.5 million related to workforce reductions in our Healthcare segment and our Business Advisory segment, respectively, to better align resources with market demand; $0.3 million related to updated lease assumptions for our San Francisco office vacated in the third quarter of 2017; and $0.3 million related to the divestiture of our Middle East practice within the Business Advisory segment in the second quarter of 2018. The charges for the first nine months of 2017 primarily consisted of $2.5 million related to the accrual of remaining lease obligations, net of estimated sublease income, due to relocating our San Francisco office to a smaller space and consolidating our Chicago and New York offices in the first nine months of 2017, and accelerated depreciation on leasehold improvements for our San Francisco office; $2.0 million related to workforce reductions in our Healthcare segment to better align our resources with market demand; and $0.4 million related to workforce reductions in our corporate operations primarily to adjust our infrastructure to align with the decreased workforce in the Healthcare segment. See Note 9 "Restructuring Charges" within the notes to our consolidated financial statements for additional information on our restructuring charges.</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losses (gains), net totaled a net gain of $5.0 million for the nine months ended September 30, 2018, which consisted of a $2.5 million litigation settlement gain for the resolution of Huron's claim in a class action lawsuit in the second quarter of 2018 and $2.5 million of net remeasurement gains due to a decrease in the estimated fair value of our liabilities for contingent consideration payments related to business acquisitions. Other</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losses (gains), net totaled a net gain of $0.2 million for the nine months ended September 30, 2017, which represented net remeasurement gains due to a decrease in the estimated fair value of our liabilities for contingent consideration payments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Depreciation and amortization expense decreased by $2.3 million to $26.3 million in the nine months ended September 30, 2018, from $28.5 million in the nine months ended September 30, 2017. The decrease was primarily attributable to decreasing amortization expense of the trade name acquired in our Studer Group acquisition as well as certain customer relationships acquired in other business acquisitions, due to the accelerated basis of amortization in prior periods, partially offset by amortization expense for intangible assets acquired in the Innosight acquisition. Intangible asset amortization included within operating expenses primarily relates to certain customer relationships, trade names, and non-competition agreements acquired in connection with our business acquisitions. See Note 4 "Acquisitions" and Note 5 "Goodwill and Intangible Assets" within the notes to our consolidated financial statements for additional information about our intangible assets.</w:t>
      </w:r>
    </w:p>
    <w:p>
      <w:pPr>
        <w:spacing w:after="0" w:line="13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second quarter of 2017, we recorded a $209.6 million non-cash pretax goodwill impairment charge related to our Healthcare reporting unit. This charge was non-cash in nature and did not affect our liquidity or debt covenants. See Note 5 "Goodwill and Intangible Assets" within the notes to our consolidated financial statements for additional information on this charge.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income increased $215.3 million to income of $35.0 million in the first nine months of 2018 from a loss of $180.3 million in the first nine months of 2017. This increase is primarily attributable to the $209.6 million non-cash pretax goodwill impairment charge recorded in the second quarter of 2017 related to our Healthcare segment. See Note 5 "Goodwill and Intangible Assets" within the notes to our consolidated financial statements for additional information on the non-cash goodwill impairment charge. Operating margin increased to 5.9% for the nine months ended September 30, 2018, compared to (33.0)% for the nine months ended September 30, 2017. The increase in operating margin was primarily attributable to the goodwill impairment charge recorded in the second quarter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Total other expense, net increased by $9.2 million to $19.8 million in the first nine months of 2018 from $10.6 million in the first nine months of 2017. The increase in total other expense, net was primarily attributable to a $5.9 million loss on divestiture of our Middle East practice within our Business Advisory segment recorded in the second quarter of 2018, compared to a $0.9 million gain on divestiture of our Life Sciences Compliance and Operations solution within our Business Advisory segment in the second quarter of 2017. During the second quarter of 2018, we sold our Middle East business to a former employee who was the practice leader of that business at the time. The increase in total other expense, net was also attributable to a $0.9 million gain in the market value of our investments that are used to fund our deferred compensation liability, compared to a $1.8 million gain for the same prior year period, and a $0.8 million increase in interest expense, net of interest income in the first nine months of 2018 compared to the first nine months of 2017. The increase in interest expense was due to higher interest rates under our credit facility during the first nine months of 2018 compared to the same prior year period, partially offset by lower levels of borrowing during the first nine months of 2018 compared to the same prior year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nine months ended September 30, 2018, our effective tax rate was 28.6% as we recognized income tax expense from continuing operations of $4.4 million on income from continuing operations of $15.3 million. The effective tax rate for the nine months ended September 30, 2018 was less favorable than the statutory rate, inclusive of state income taxes, of 26.0%, primarily due to discrete tax expense of $1.2 million for share-based compensation awards that vested during the first quarter of 2018, which had an unfavorable impact of 8.1% on the effective tax rate. This unfavorable discrete item was partially offset by a $0.9 million tax benefit recorded in the third quarter of 2018 related to U.S. federal and foreign return to provision adjustments, which had a favorable impact of 6.1% on the effective tax rate.</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nine months ended September 30, 2017, our effective tax rate was 26.1% as we recognized income tax benefit from continuing operations of $49.7 million on a loss from continuing operations of $190.9 million. The effective tax rate for the nine months ended September 30, 2017 was less favorable than the statutory rate, inclusive of state income taxes, primarily due to the $61.2 million non-deductible portion of the goodwill impairment charge recorded in the second quarter of 2017, as well as $1.8 million of discrete tax expense for share-based compensation. These unfavorable discrete items were partially offset by a $2.7 million tax benefit recorded in the third quarter of 2017 related to a previously unrecognized tax benefit from our 2014 "check-the-box" election.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income from continuing operations increased by $152.1 million to net income from continuing operations of $10.9 million for the nine months ended September 30, 2018, from a net loss from continuing operations of $141.2 million for the same prior year period. This increase is primarily attributable to the $209.6 million non-cash pretax goodwill impairment charge related to our Healthcare segment. As a result of the increase in net</w:t>
      </w:r>
    </w:p>
    <w:p>
      <w:pPr>
        <w:sectPr>
          <w:pgSz w:w="11900" w:h="16838" w:orient="portrait"/>
          <w:cols w:equalWidth="0" w:num="1">
            <w:col w:w="11400"/>
          </w:cols>
          <w:pgMar w:left="240" w:top="125"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income from continuing operations, diluted earnings per share from continuing operations for the first nine months of 2018 was $0.50 compared to diluted loss per share from continuing operations of $6.59 for the first nine months of 2017. The non-cash goodwill impairment charge had a $7.16 unfavorable impact on diluted loss per share from continuing operations for the first nine months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EBITDA increased $199.6 million to earnings of $59.4 million for the nine months ended September 30, 2018, from a loss of $140.2 million for the nine months ended September 30, 2017. Adjusted EBITDA decreased $10.0 million to $63.1 million in the first nine months of 2018 from $73.1 million in the first nine months of 2017. The increase in EBITDA was primarily attributable to the non-cash goodwill impairment charge of $209.6 million recorded in the second quarter of 2017. The decrease in adjusted EBITDA was primarily due to a decrease in segment operating income, exclusive of amortization expense and restructuring charges allocated to the segments, as well as an increase in corporate expenses, exclusive of restructuring charges not allocated to the segments. See Segment Results below for additional information on segment operating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Adjusted net income from continuing operations decreased $0.6 million to $31.1 million in the first nine months of 2018 compared to $31.7 million in the first nine months of 2017. As a result of the decrease in adjusted net income from continuing operations, adjusted diluted earnings per share from continuing operations for the first nine months of 2018 was $1.42 compared to $1.47 for the first nine months of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Healthcare segment revenues increased $10.6 million, or 4.0%, to $271.8 million for the first nine months of 2018 from $261.3 million for the first nine months of 2017.</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nine months ended September 30, 2018, revenues from fixed-fee engagements; time-and-expense engagements; performance-based arrangements; and software support, maintenance and subscription arrangements represented 67.2%, 15.7%, 10.2%, and 6.9% of this segment’s revenues, respectively, compared to 67.4%, 16.8%, 8.3%, and 7.5% of this segment’s revenues, respectively, for the same prior year period.</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the overall $10.6 million increase in revenues, $14.4 million was attributable to an increase in revenues from our full-time billable consultants, partially offset by a $3.8 million decrease in revenues attributable to our full-time equivalents.</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increase in revenues attributable to our full-time billable consultants reflected increases in the consultant utilization rate and the average billing rate. Performance-based fee revenue was $27.8 million during the first nine months of 2018, and was recognized in accordance with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which was adopted on a modified retrospective basis on January 1, 2018. Performance-based fee revenue for the first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of 2017 was $21.6 million, and was recognized in accordance with ASC 605. Refer to Note 2 "Basis of Presentation" and Note 3 "New Accounting Pronouncements" within the notes to our consolidated financial statements for additional information on our adoption of ASC 606. The level of performance-based fees earned may vary based on our clients’ risk sharing preferences and the mix of services we provide.</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revenues attributable to our full-time equivalents was primarily driven by lower revenues in our Studer Group solution, partially offset by an increased use of contractors and our part-time project consultants and an increase in license revenue; and reflected a decrease in revenue per full-time equivalent.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Healthcare segment operating income decreased $5.4 million, or 6.5%, to $78.2 million for the nine months ended September 30, 2018, from $83.6 million for the nine months ended September 30, 2017. The Healthcare segment operating margin decreased to 28.8% for the first nine months of 2018 from 32.0% in the same period last year. The decrease in this segment’s operating margin was primarily attributable to an increase in performance bonus expense for both our revenue-generating professionals and support personnel, as well as an increase in contractor expenses, partially offset by a decrease in intangible asset amortization expense, revenue growth that outpaced the growth of salaries and related expenses for our revenue-generating professionals, and a decrease in restructuring charges.</w:t>
      </w:r>
    </w:p>
    <w:p>
      <w:pPr>
        <w:spacing w:after="0" w:line="13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non-cash goodwill impairment charge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Note 5 "Goodwill and Intangible Assets" within the notes to our consolidated financial statements for additional information on this charge.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Business Advisory segment revenues increased $13.0 million, or 8.3%, to $170.8 million for the first nine months of 2018 from $157.8 million for the first nine months of 2017. Revenues for the first nine months of 2018 included $6.4 million of incremental revenues due to the full period impact of our acquisition of Innosight, which was completed in March 2017.</w:t>
      </w:r>
    </w:p>
    <w:p>
      <w:pPr>
        <w:spacing w:after="0" w:line="1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first nine months of 2018, revenues from fixed-fee engagements; time-and-expense engagements; performance-based arrangements; and software support, maintenance and subscription arrangements represented 41.0%, 55.3%, 1.8%, and 1.9% of this segment’s revenues, respectively, compared to 34.7%, 62.6%, 1.2%, and 1.5% of this segment’s revenues, respectively, during the same prior year period. Performance-based fee revenue was $3.1 million for the first nine months of 2018, compared to $1.9 million for the same prior year period. Refer to Note 2 "Basis of Presentation" and Note 3 "New Accounting Pronouncements" within the notes to our consolidated financial statements for additional information on our adoption of ASC 606. The level of performance-based fees earned may vary based on our clients’ preferences and the mix of services we provide.</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Of the overall $13.0 million increase in revenues, $11.9 million was attributable to our full-time billable consultants and $1.1 million was attributable to our full-time equivalents. The increase in revenues from our full-time billable consultants was primarily driven by increases in the average number of full-time billable consultants and the average billing rate, partially offset by a decrease in the consultant utilization rate. The increase in revenues from our full-time equivalents reflected increases in the average number of full-time equivalents and revenue per full-time equivalent in the first nine months of 2018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Advisory segment operating income slightly increased by $0.1 million, or 0.4%, to $35.0 million for the nine months ended September 30, 2018, from $34.9 million for the nine months ended September 30, 2017. The Business Advisory segment operating margin decreased to 20.5% for the first nine months of 2018 from 22.1% in the same period last year. The decrease in this segment’s operating margin was primarily attributable to an increase in performance bonus expense for our revenue-generating professionals as a percentage of revenues, partially offset by decreases in salaries and related expenses for our support personnel, intangible asset amortization expense, share-based compensation expense for our revenue-generating professionals, and contractor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Education segment revenues increased $19.4 million, or 15.2%, to $147.1 million for the first nine months of 2018 from $127.6 million for the first nine months of 2017.</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nine months ended September 30, 2018, revenues from fixed-fee engagements; time-and-expense engagements; and software support, maintenance and subscription arrangements represented 19.5%, 73.5%, and 7.0% of this segment’s revenues, respectively. For the nine months ended September 30, 2017, revenues from fixed-fee engagements; time-and-expense engagements; performance-based arrangements; and software support, maintenance and subscription arrangements represented 15.8%, 78.5%, 0.3%, and 5.4% of this segment's revenues, respectively.</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Of the overall $19.4 million increase in revenues, $16.1 million was attributable to our full-time billable consultants and $3.3 million was attributable to our full-time equivalents. The increase in revenues from our full-time billable consultants reflected increases in the average number of full-time billable consultants and the consultant utilization rate, partially offset by a decrease in the average billing rate. The increase in revenues from our full-time equivalents was driven by an increased use of our part-time project consultants and an increase in license revenues; and reflected increases in the average number of full-time equivalents and revenue per full-time equivalent in the first nine months of 2018 compared to the same prior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Education segment operating income increased $5.9 million, or 18.6%, to $37.7 million for the nine months ended September 30, 2018, from $31.8 million for the nine months ended September 30, 2017. The Education segment operating margin increased to 25.6% for the first nine months of 2018 from 24.9% in the same period last year. The increase in this segment’s operating margin was primarily attributable to revenue growth that outpaced the increase in performance bonus expense for our revenue-generating professionals, as well as decreases in contractor expense and salaries and related expenses for our support personnel, partially offset by an increase in salaries and related expenses for our revenue-generating professionals as a percentage of revenues.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Cash and cash equivalents decreased $7.9 million, from $16.9 million at December 31, 2017 to $9.0 million at September 30, 2018. As of September 30, 2018,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52,432</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(125,253)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64,262</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Net cash provided by operating activities totaled $48.9 million and $52.4 million for the nine months ended September 30, 2018 and 2017,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decrease in cash provided by operations for the first nine months of 2018 compared to the same prior year period was primarily attributable to an increase in vendor payments, partially offset by an increase in cash collections.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$13.5 million and $125.3 million for the nine months ended September 30, 2018 and 2017, respectively.</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use of cash in the first nine months of 2018 primarily consisted of $6.7 million for purchases of property and equipment, primarily related to purchases of computers and network equipment; $3.6 million for payments related to internally developed software; $2.4 million for payments related to the divestiture of our Middle East practice within the Business Advisory segment; and $1.7 million for contributions to our life insurance policies which fund our deferred compensation plan.</w:t>
      </w:r>
    </w:p>
    <w:p>
      <w:pPr>
        <w:spacing w:after="0" w:line="13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use of cash in the first nine months of 2017 primarily consisted of $106.9 million for the purchases of businesses and $20.1 million for purchases of property and equipment, primarily related to leasehold improvements and purchases of furniture and fixtures for new office spaces.</w:t>
      </w:r>
    </w:p>
    <w:p>
      <w:pPr>
        <w:spacing w:after="0" w:line="93"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We estimate that cash utilized for purchases of property and equipment and software development in 2018 will be approximately $15.0 million, primarily consisting of information technology related equipment to support our corporate infrastructure, leasehold improvements, and software development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Net cash used in financing activities was $43.1 million for the nine months ended September 30, 2018. During the first nine months of 2018, we borrowed $179.8 million under our credit facility and made repayments on our credit facility of $213.3 million. We also paid $7.8 million to the sellers of certain business acquisitions for achieving specified financial performance targets in accordance with the related purchase agreements. Of the total $7.8 million payments made, $4.9 million is classified as a cash outflow from financing activities and represents the amount paid up to the fair value of the contingent consideration liability recorded as of the acquisition dates. The remaining $2.9 million is classified as a cash outflow from operating activities.</w:t>
      </w:r>
    </w:p>
    <w:p>
      <w:pPr>
        <w:spacing w:after="0" w:line="10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cash provided by financing activities was $64.3 million for the nine months ended September 30, 2017. During the first nine months of 2017, we borrowed $241.0 million under our credit facility, primarily to fund our acquisitions of Innosight and Pope Woodhead and our annual performance bonus payment, and made repayments on our credit facility of $170.0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September 30, 2018, we had a share repurchase program permitting us to repurchase up to $125 million of our common stock through October 31, 2018 (the "Share Repurchase Program"). During the fourth quarter of 2018, our board of directors authorized an extension of the Share Repurchase Program through October 31, 2019.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in the first nine months of 2018 or 2017. As of September 30, 2018, $35.1 million remains available for share repurchases.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September 30, 2018, we had $250.0 million principal amount of our 1.25% convertible senior notes outstanding, $71.5 million outstanding under our senior secured credit facility, and $4.5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1.25% Convertible Senior Notes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a $500 million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w:t>
      </w:r>
    </w:p>
    <w:p>
      <w:pPr>
        <w:sectPr>
          <w:pgSz w:w="11900" w:h="16838" w:orient="portrait"/>
          <w:cols w:equalWidth="0" w:num="1">
            <w:col w:w="11400"/>
          </w:cols>
          <w:pgMar w:left="240" w:top="125"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5"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September 30, 2018, we were in compliance with these financial covenants with a Consolidated Leverage Ratio of 3.02 to 1.00 and a Consolidated Interest Coverage Ratio of 10.57 to 1.00.</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$75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Borrowings outstanding under the Amended Credit Agreement at September 30, 2018 totaled $71.5 million. These borrowings carried a weighted average interest rate of 4.2%, including the impact of the interest rate swap in effect as of September 30, 2018 and described in Note 10 “Derivative Instrument and Hedging Activity” within the notes to the consolidated financial statements. Borrowings outstanding under the Amended Credit Agreement at December 31, 2017 were $105.0 million and carried a weighted average interest rate of 3.7%, including the impact of the interest rate swap in effect as of December 31, 2017. The borrowing capacity under the revolving credit facility is reduced by any outstanding borrowings under the revolving credit facility and outstanding letters of credit. At September 30, 2018, we had outstanding letters of credit totaling $1.6 million, which are primarily used as security deposits for our office facilities. As of September 30, 2018, the unused borrowing capacity under the revolving credit facility was $426.9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September 30, 2018, the outstanding principal amount of the promissory note was $4.5 million. As of September 30, 2018, the aircraft had a carrying amount of $5.9 million. At December 31, 2017, the outstanding principal amount of the promissory note was $4.9 million, and the aircraft had a carrying amount of $6.5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2017.</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23, 2018, we entered into a third amendment (the "Third Amendment") to the Second Amended and Restated Credit Agreement dated as of March 31, 2015, as amended to date (as amended and modified the "Amended Credit Facility"). The Third Amendment extended the maturity date from March 31, 2020 to March 23, 2023. In addition, the Third Amendment provided for, among other things, i) an increase in the allowable aggregate amount of increases to the Aggregate Revolving Commitments or new or additional term loans from $100 million to $150 million; ii) an increase in the base amount of allowable Restricted Payments when the Consolidated Leverage Ratio is greater than 3.00 to 1.0 from $50 million to $75 million; iii) an increase in the maximum Consolidated Leverage Ratio allowed; and iv) certain changes to the definition of Consolidated EBITDA. Borrowings outstanding under the Amended Credit Agreement at September 30, 2018 totaled $71.5 million.</w:t>
      </w:r>
    </w:p>
    <w:p>
      <w:pPr>
        <w:spacing w:after="0" w:line="13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capitalized terms above are defined in the Credit Agreement or Third Amendment, as applicable. Refer to “Liquidity and Capital Resources” and Note 8 “Financing Arrangements” within the notes to the consolidated financial statements for more information on our outstanding borrowings.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contractual obligations since December 31, 2017.</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25"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2017. Below is an update to our critical accounting policy related to revenue recognition. There have been no material changes to our other critical accounting policies during the first nine months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goods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ectPr>
          <w:pgSz w:w="11900" w:h="16838" w:orient="portrait"/>
          <w:cols w:equalWidth="0" w:num="1">
            <w:col w:w="11400"/>
          </w:cols>
          <w:pgMar w:left="240" w:top="125" w:right="25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$240.2 million as of September 30, 2018, which represents the liability component of the $250.0 million principal balance. The estimated fair value of our Convertible Notes at September 30, 2018 was $241.7 million, and was determined based on the quoted bid price of the Convertible Notes in an over-the-counter market as of the last day of trading for the quarter ended September 30, 2018, which was $96.66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September 30, 2018, we had borrowings outstanding under the credit facility totaling $71.5 million that carried a weighted average interest rate of 4.2%, including the impact of the interest rate swap described below. A hypothetical 100 basis point</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change in this interest rate would have a $0.2 million effect on our pretax income, on an annualized basis, including the effect of the interest rate swap. At December 31, 2017, our borrowings outstanding under the credit facility totaled $105.0 million and carried a weighted average interest rate of 3.7%, including the effect of the interest rate swap described below. A hypothetical 100 basis point change in the interest rate as of December 31, 2017 would have had a $0.6 million effect on our pretax income, on an annualized basis, including the effect of the interest rate swap.</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September 30, 2018, the outstanding principal amount of the promissory note was $4.5 million and carried an interest rate of 4.1%. A hypothetical 100 basis point change in this interest rate would not have a material effect on our pretax income, on an annualized basis. At December 31, 2017, the outstanding principal amount of the promissory note was $4.9 million and carried an interest rate of 3.2%. A hypothetical 100 basis point change in the interest rate as of December 31, 2017 would not have had a material effect on our pretax income, on an annualized basis.</w:t>
      </w:r>
    </w:p>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September 30, 2018, the fair value of the investment was $45.9 million, with a total cost basis of $27.9 million.</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2018. Based on this evaluation, our Chief Executive Officer and Chief Financial Officer have concluded that, as of September 30, 2018,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September 30, 2018 that has materially affected, or is reasonably likely to materially affect, our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Quarterly Report on Form 10-Q.</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2017, which was filed with the Securities and Exchange Commission on February 28, 2018, for a complete description of the material risks we face.</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5" w:right="2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September 30, 2018, we reacquired 8,241 shares of common stock with a weighted average fair market value of $45.07 as a result of such tax withholdings.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$125 million of our common stock and which expires on October 31, 2018 (the "Share Repurchase Program"). During the fourth quarter of 2018, our board of directors authorized an extension of the Share Repurchase Program through October 31, 2019. The amount and timing of the repurchases will be determined by management and will depend on a variety of factors, including the trading price of our common stock, capacity under our line of credit, general market and business conditions, and applicable legal requirements. The following table provides information with respect to purchases we made of our common stock during the quarter ended September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xml:space="preserve">Shares Purchased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1"/>
                <w:szCs w:val="21"/>
                <w:b w:val="1"/>
                <w:bCs w:val="1"/>
                <w:color w:val="auto"/>
                <w:w w:val="87"/>
                <w:vertAlign w:val="superscript"/>
              </w:rPr>
              <w:t>(2)</w:t>
            </w: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 July 31,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August 1, 2018 - August 31, 2018</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5,127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 September 30,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8,241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9"/>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Certification of the Chief Executive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9"/>
          </w:tcPr>
          <w:p>
            <w:pPr>
              <w:spacing w:after="0" w:line="183" w:lineRule="exact"/>
              <w:rPr>
                <w:rFonts w:ascii="Arial" w:cs="Arial" w:eastAsia="Arial" w:hAnsi="Arial"/>
                <w:sz w:val="16"/>
                <w:szCs w:val="16"/>
                <w:color w:val="0000FF"/>
              </w:rPr>
            </w:pPr>
            <w:hyperlink w:anchor="page55">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5">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2"/>
          </w:tcPr>
          <w:p>
            <w:pPr>
              <w:spacing w:after="0"/>
              <w:rPr>
                <w:sz w:val="15"/>
                <w:szCs w:val="15"/>
                <w:color w:val="auto"/>
              </w:rPr>
            </w:pPr>
          </w:p>
        </w:tc>
        <w:tc>
          <w:tcPr>
            <w:tcW w:w="5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9"/>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Certification of the Chief Financial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9"/>
          </w:tcPr>
          <w:p>
            <w:pPr>
              <w:spacing w:after="0" w:line="183" w:lineRule="exact"/>
              <w:rPr>
                <w:rFonts w:ascii="Arial" w:cs="Arial" w:eastAsia="Arial" w:hAnsi="Arial"/>
                <w:sz w:val="16"/>
                <w:szCs w:val="16"/>
                <w:color w:val="0000FF"/>
              </w:rPr>
            </w:pPr>
            <w:hyperlink w:anchor="page56">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6">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2"/>
          </w:tcPr>
          <w:p>
            <w:pPr>
              <w:spacing w:after="0"/>
              <w:rPr>
                <w:sz w:val="15"/>
                <w:szCs w:val="15"/>
                <w:color w:val="auto"/>
              </w:rPr>
            </w:pPr>
          </w:p>
        </w:tc>
        <w:tc>
          <w:tcPr>
            <w:tcW w:w="5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Borders>
              <w:bottom w:val="single" w:sz="8" w:color="0000FF"/>
            </w:tcBorders>
            <w:gridSpan w:val="7"/>
          </w:tcPr>
          <w:p>
            <w:pPr>
              <w:spacing w:after="0"/>
              <w:rPr>
                <w:rFonts w:ascii="Arial" w:cs="Arial" w:eastAsia="Arial" w:hAnsi="Arial"/>
                <w:sz w:val="16"/>
                <w:szCs w:val="16"/>
                <w:color w:val="0000FF"/>
                <w:w w:val="93"/>
              </w:rPr>
            </w:pPr>
            <w:hyperlink w:anchor="page57">
              <w:r>
                <w:rPr>
                  <w:rFonts w:ascii="Arial" w:cs="Arial" w:eastAsia="Arial" w:hAnsi="Arial"/>
                  <w:sz w:val="16"/>
                  <w:szCs w:val="16"/>
                  <w:color w:val="0000FF"/>
                  <w:w w:val="93"/>
                </w:rPr>
                <w:t>Certification of the Chief Executive Officer, pursuant to 18 U.S.C. Section</w:t>
              </w:r>
            </w:hyperlink>
          </w:p>
        </w:tc>
        <w:tc>
          <w:tcPr>
            <w:tcW w:w="1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w:anchor="page57">
              <w:r>
                <w:rPr>
                  <w:rFonts w:ascii="Arial" w:cs="Arial" w:eastAsia="Arial" w:hAnsi="Arial"/>
                  <w:sz w:val="16"/>
                  <w:szCs w:val="16"/>
                  <w:color w:val="0000FF"/>
                  <w:w w:val="90"/>
                </w:rPr>
                <w:t>1350, as adopted pursuant to Section 906 of the Sarbanes-Oxley Act of</w:t>
              </w:r>
            </w:hyperlink>
          </w:p>
        </w:tc>
        <w:tc>
          <w:tcPr>
            <w:tcW w:w="3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57">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0000FF"/>
            </w:tcBorders>
            <w:gridSpan w:val="6"/>
          </w:tcPr>
          <w:p>
            <w:pPr>
              <w:spacing w:after="0"/>
              <w:rPr>
                <w:rFonts w:ascii="Arial" w:cs="Arial" w:eastAsia="Arial" w:hAnsi="Arial"/>
                <w:sz w:val="16"/>
                <w:szCs w:val="16"/>
                <w:color w:val="0000FF"/>
                <w:w w:val="93"/>
              </w:rPr>
            </w:pPr>
            <w:hyperlink w:anchor="page58">
              <w:r>
                <w:rPr>
                  <w:rFonts w:ascii="Arial" w:cs="Arial" w:eastAsia="Arial" w:hAnsi="Arial"/>
                  <w:sz w:val="16"/>
                  <w:szCs w:val="16"/>
                  <w:color w:val="0000FF"/>
                  <w:w w:val="93"/>
                </w:rPr>
                <w:t>Certification of the Chief Financial Officer, pursuant to 18 U.S.C. Section</w:t>
              </w:r>
            </w:hyperlink>
          </w:p>
        </w:tc>
        <w:tc>
          <w:tcPr>
            <w:tcW w:w="18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w:anchor="page58">
              <w:r>
                <w:rPr>
                  <w:rFonts w:ascii="Arial" w:cs="Arial" w:eastAsia="Arial" w:hAnsi="Arial"/>
                  <w:sz w:val="16"/>
                  <w:szCs w:val="16"/>
                  <w:color w:val="0000FF"/>
                  <w:w w:val="90"/>
                </w:rPr>
                <w:t>1350, as adopted pursuant to Section 906 of the Sarbanes-Oxley Act of</w:t>
              </w:r>
            </w:hyperlink>
          </w:p>
        </w:tc>
        <w:tc>
          <w:tcPr>
            <w:tcW w:w="3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58">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14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125"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36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36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September 30, 2018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6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jc w:val="both"/>
        <w:ind w:right="60"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September 30, 2018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6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Roman"/>
      <w:start w:val="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6"/>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2019-12-28T18:52:44Z</dcterms:created>
  <dcterms:modified xsi:type="dcterms:W3CDTF">2019-12-28T18:52:44Z</dcterms:modified>
</cp:coreProperties>
</file>