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0001815569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Huron Consulting Group Inc.</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000-50976</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550 WEST VAN BUREN STREET</w:t>
              <w:br/>
              <w:t>CHICAGO</w:t>
              <w:br/>
              <w:t xml:space="preserve">ILLINOIS </w:t>
              <w:br/>
              <w:t>60607</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(312) 583-8700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Featherstone Kyle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459</w:t>
            </w:r>
          </w:p>
        </w:tc>
        <w:tc>
          <w:tcPr>
            <w:tcW w:w="1377" w:type="dxa"/>
            <w:tcBorders/>
            <w:vAlign w:val="center"/>
          </w:tcPr>
          <w:p>
            <w:pPr>
              <w:pStyle w:val="TableContents"/>
              <w:bidi w:val="0"/>
              <w:spacing w:before="0" w:after="283"/>
              <w:jc w:val="left"/>
              <w:rPr/>
            </w:pPr>
            <w:r>
              <w:rPr/>
              <w:t>70074.53</w:t>
            </w:r>
          </w:p>
        </w:tc>
        <w:tc>
          <w:tcPr>
            <w:tcW w:w="1552" w:type="dxa"/>
            <w:tcBorders/>
            <w:vAlign w:val="center"/>
          </w:tcPr>
          <w:p>
            <w:pPr>
              <w:pStyle w:val="TableContents"/>
              <w:bidi w:val="0"/>
              <w:spacing w:before="0" w:after="283"/>
              <w:jc w:val="left"/>
              <w:rPr/>
            </w:pPr>
            <w:r>
              <w:rPr/>
              <w:t>15910072</w:t>
            </w:r>
          </w:p>
        </w:tc>
        <w:tc>
          <w:tcPr>
            <w:tcW w:w="1567" w:type="dxa"/>
            <w:tcBorders/>
            <w:vAlign w:val="center"/>
          </w:tcPr>
          <w:p>
            <w:pPr>
              <w:pStyle w:val="TableContents"/>
              <w:bidi w:val="0"/>
              <w:spacing w:before="0" w:after="283"/>
              <w:jc w:val="left"/>
              <w:rPr/>
            </w:pPr>
            <w:r>
              <w:rPr/>
              <w:t>07/31/2026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78</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335</w:t>
            </w:r>
          </w:p>
        </w:tc>
        <w:tc>
          <w:tcPr>
            <w:tcW w:w="1046" w:type="dxa"/>
            <w:tcBorders/>
            <w:vAlign w:val="center"/>
          </w:tcPr>
          <w:p>
            <w:pPr>
              <w:pStyle w:val="TableContents"/>
              <w:bidi w:val="0"/>
              <w:spacing w:before="0" w:after="283"/>
              <w:jc w:val="left"/>
              <w:rPr/>
            </w:pPr>
            <w:r>
              <w:rPr/>
              <w:t>03/01/2026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2"/>
        <w:gridCol w:w="8473"/>
      </w:tblGrid>
      <w:tr>
        <w:trPr/>
        <w:tc>
          <w:tcPr>
            <w:tcW w:w="1732" w:type="dxa"/>
            <w:tcBorders/>
            <w:vAlign w:val="center"/>
          </w:tcPr>
          <w:p>
            <w:pPr>
              <w:pStyle w:val="TableContents"/>
              <w:bidi w:val="0"/>
              <w:spacing w:before="0" w:after="283"/>
              <w:jc w:val="left"/>
              <w:rPr/>
            </w:pPr>
            <w:r>
              <w:rPr/>
              <w:t>Remarks</w:t>
            </w:r>
          </w:p>
        </w:tc>
        <w:tc>
          <w:tcPr>
            <w:tcW w:w="8473" w:type="dxa"/>
            <w:tcBorders/>
            <w:vAlign w:val="center"/>
          </w:tcPr>
          <w:p>
            <w:pPr>
              <w:pStyle w:val="TableContents"/>
              <w:bidi w:val="0"/>
              <w:spacing w:before="0" w:after="283"/>
              <w:jc w:val="left"/>
              <w:rPr>
                <w:sz w:val="4"/>
                <w:szCs w:val="4"/>
              </w:rPr>
            </w:pPr>
            <w:r>
              <w:rPr>
                <w:sz w:val="4"/>
                <w:szCs w:val="4"/>
              </w:rPr>
            </w:r>
          </w:p>
        </w:tc>
      </w:tr>
      <w:tr>
        <w:trPr/>
        <w:tc>
          <w:tcPr>
            <w:tcW w:w="1732" w:type="dxa"/>
            <w:tcBorders/>
            <w:vAlign w:val="center"/>
          </w:tcPr>
          <w:p>
            <w:pPr>
              <w:pStyle w:val="TableContents"/>
              <w:bidi w:val="0"/>
              <w:spacing w:before="0" w:after="283"/>
              <w:jc w:val="left"/>
              <w:rPr/>
            </w:pPr>
            <w:r>
              <w:rPr/>
              <w:t>Date of Notice</w:t>
            </w:r>
          </w:p>
        </w:tc>
        <w:tc>
          <w:tcPr>
            <w:tcW w:w="8473"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2" w:type="dxa"/>
            <w:tcBorders/>
            <w:vAlign w:val="center"/>
          </w:tcPr>
          <w:p>
            <w:pPr>
              <w:pStyle w:val="TableContents"/>
              <w:bidi w:val="0"/>
              <w:spacing w:before="0" w:after="283"/>
              <w:jc w:val="left"/>
              <w:rPr/>
            </w:pPr>
            <w:r>
              <w:rPr/>
              <w:t>Signature</w:t>
            </w:r>
          </w:p>
        </w:tc>
        <w:tc>
          <w:tcPr>
            <w:tcW w:w="8473" w:type="dxa"/>
            <w:tcBorders/>
            <w:vAlign w:val="center"/>
          </w:tcPr>
          <w:p>
            <w:pPr>
              <w:pStyle w:val="TableContents"/>
              <w:bidi w:val="0"/>
              <w:spacing w:before="0" w:after="0"/>
              <w:jc w:val="left"/>
              <w:rPr/>
            </w:pPr>
            <w:r>
              <w:rPr/>
              <w:t>/s/ Jennifer Ruchti, as a duly authorized representative of Fidelity Brokerage Services LLC, as attorney-in-fact for Kyle Featherstone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3129</Characters>
  <CharactersWithSpaces>3666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