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-199390</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186055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00" w:right="1560" w:hanging="3865"/>
        <w:spacing w:after="0" w:line="328" w:lineRule="auto"/>
        <w:tabs>
          <w:tab w:leader="none" w:pos="682" w:val="left"/>
        </w:tabs>
        <w:numPr>
          <w:ilvl w:val="0"/>
          <w:numId w:val="1"/>
        </w:numPr>
        <w:rPr>
          <w:rFonts w:ascii="MS PGothic" w:cs="MS PGothic" w:eastAsia="MS PGothic" w:hAnsi="MS PGothic"/>
          <w:sz w:val="17"/>
          <w:szCs w:val="17"/>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320" w:right="1560" w:hanging="4285"/>
        <w:spacing w:after="0" w:line="376" w:lineRule="auto"/>
        <w:tabs>
          <w:tab w:leader="none" w:pos="69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15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5" w:lineRule="exact"/>
        <w:rPr>
          <w:sz w:val="24"/>
          <w:szCs w:val="24"/>
          <w:color w:val="auto"/>
        </w:rPr>
      </w:pPr>
    </w:p>
    <w:p>
      <w:pPr>
        <w:ind w:right="16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2" w:lineRule="exact"/>
        <w:rPr>
          <w:sz w:val="24"/>
          <w:szCs w:val="24"/>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280" w:type="dxa"/>
            <w:vAlign w:val="bottom"/>
          </w:tcPr>
          <w:p>
            <w:pPr>
              <w:ind w:left="860"/>
              <w:spacing w:after="0"/>
              <w:rPr>
                <w:sz w:val="20"/>
                <w:szCs w:val="20"/>
                <w:color w:val="auto"/>
              </w:rPr>
            </w:pPr>
            <w:r>
              <w:rPr>
                <w:rFonts w:ascii="Arial" w:cs="Arial" w:eastAsia="Arial" w:hAnsi="Arial"/>
                <w:sz w:val="17"/>
                <w:szCs w:val="17"/>
                <w:color w:val="auto"/>
              </w:rPr>
              <w:t>Accelerated filer</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58"/>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4560" w:type="dxa"/>
            <w:vAlign w:val="bottom"/>
          </w:tcPr>
          <w:p>
            <w:pPr>
              <w:ind w:left="400"/>
              <w:spacing w:after="0"/>
              <w:rPr>
                <w:sz w:val="20"/>
                <w:szCs w:val="20"/>
                <w:color w:val="auto"/>
              </w:rPr>
            </w:pPr>
            <w:r>
              <w:rPr>
                <w:rFonts w:ascii="Arial" w:cs="Arial" w:eastAsia="Arial" w:hAnsi="Arial"/>
                <w:sz w:val="17"/>
                <w:szCs w:val="17"/>
                <w:color w:val="auto"/>
              </w:rPr>
              <w:t>o (Do not check if a smaller reporting company)</w:t>
            </w:r>
          </w:p>
        </w:tc>
        <w:tc>
          <w:tcPr>
            <w:tcW w:w="3280" w:type="dxa"/>
            <w:vAlign w:val="bottom"/>
          </w:tcPr>
          <w:p>
            <w:pPr>
              <w:ind w:left="860"/>
              <w:spacing w:after="0"/>
              <w:rPr>
                <w:sz w:val="20"/>
                <w:szCs w:val="20"/>
                <w:color w:val="auto"/>
              </w:rPr>
            </w:pPr>
            <w:r>
              <w:rPr>
                <w:rFonts w:ascii="Arial" w:cs="Arial" w:eastAsia="Arial" w:hAnsi="Arial"/>
                <w:sz w:val="17"/>
                <w:szCs w:val="17"/>
                <w:color w:val="auto"/>
              </w:rPr>
              <w:t>Smaller reporting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r>
        <w:trPr>
          <w:trHeight w:val="392"/>
        </w:trPr>
        <w:tc>
          <w:tcPr>
            <w:tcW w:w="19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80" w:type="dxa"/>
            <w:vAlign w:val="bottom"/>
          </w:tcPr>
          <w:p>
            <w:pPr>
              <w:ind w:left="860"/>
              <w:spacing w:after="0"/>
              <w:rPr>
                <w:sz w:val="20"/>
                <w:szCs w:val="20"/>
                <w:color w:val="auto"/>
              </w:rPr>
            </w:pPr>
            <w:r>
              <w:rPr>
                <w:rFonts w:ascii="Arial" w:cs="Arial" w:eastAsia="Arial" w:hAnsi="Arial"/>
                <w:sz w:val="17"/>
                <w:szCs w:val="17"/>
                <w:color w:val="auto"/>
              </w:rPr>
              <w:t>Emerging growth company</w:t>
            </w:r>
          </w:p>
        </w:tc>
        <w:tc>
          <w:tcPr>
            <w:tcW w:w="640" w:type="dxa"/>
            <w:vAlign w:val="bottom"/>
          </w:tcPr>
          <w:p>
            <w:pPr>
              <w:ind w:left="56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96" w:lineRule="exact"/>
        <w:tabs>
          <w:tab w:leader="none" w:pos="79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As of April 24, 2018, 22,414,016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524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43">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106,046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101,778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206,138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25,375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646,367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645,750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73,698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contingent consideration for business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27,916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contingent consideration for business acquisitions, net of current portion</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431,227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394,145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$0.01 par value; 500,000,000 shares authorized; 24,933,923 and 24,560,468 shares issued at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2018 and December 31, 2017,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1"/>
              </w:rPr>
              <w:t>Treasury stock, at cost, 2,519,883 and 2,443,577 shares at March 31, 2018 and December 31, 2017,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(121,994)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507,470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0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05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8360"/>
        <w:spacing w:after="0"/>
        <w:rPr>
          <w:sz w:val="20"/>
          <w:szCs w:val="20"/>
          <w:color w:val="auto"/>
        </w:rPr>
      </w:pPr>
      <w:r>
        <w:rPr>
          <w:rFonts w:ascii="Arial" w:cs="Arial" w:eastAsia="Arial" w:hAnsi="Arial"/>
          <w:sz w:val="17"/>
          <w:szCs w:val="17"/>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24130</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 and 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Revenues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193,679</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188,849</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Reimbursable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16,950</w:t>
            </w:r>
          </w:p>
        </w:tc>
        <w:tc>
          <w:tcPr>
            <w:tcW w:w="0" w:type="dxa"/>
            <w:vAlign w:val="bottom"/>
          </w:tcPr>
          <w:p>
            <w:pPr>
              <w:spacing w:after="0"/>
              <w:rPr>
                <w:sz w:val="1"/>
                <w:szCs w:val="1"/>
                <w:color w:val="auto"/>
              </w:rPr>
            </w:pP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Total revenues and reimbursable expenses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211,298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205,799</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w w:val="93"/>
              </w:rPr>
              <w:t xml:space="preserve">Direct costs and reimbursable expenses </w:t>
            </w:r>
            <w:r>
              <w:rPr>
                <w:rFonts w:ascii="Arial" w:cs="Arial" w:eastAsia="Arial" w:hAnsi="Arial"/>
                <w:sz w:val="17"/>
                <w:szCs w:val="17"/>
                <w:color w:val="auto"/>
                <w:w w:val="93"/>
              </w:rPr>
              <w:t>(exclusive of depreciation and amortization shown in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Direct costs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132,786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115,741</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of intangible assets and software development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2,986</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Reimbursable expenses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17,549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16,869</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direct costs and 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151,553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135,596</w:t>
            </w:r>
          </w:p>
        </w:tc>
        <w:tc>
          <w:tcPr>
            <w:tcW w:w="0" w:type="dxa"/>
            <w:vAlign w:val="bottom"/>
          </w:tcPr>
          <w:p>
            <w:pPr>
              <w:spacing w:after="0"/>
              <w:rPr>
                <w:sz w:val="1"/>
                <w:szCs w:val="1"/>
                <w:color w:val="auto"/>
              </w:rPr>
            </w:pPr>
          </w:p>
        </w:tc>
      </w:tr>
      <w:tr>
        <w:trPr>
          <w:trHeight w:val="206"/>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Operating expenses and other losses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46,856</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712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8,803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8,919</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operating expenses and other losses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56,054</w:t>
            </w:r>
          </w:p>
        </w:tc>
        <w:tc>
          <w:tcPr>
            <w:tcW w:w="0" w:type="dxa"/>
            <w:vAlign w:val="bottom"/>
          </w:tcPr>
          <w:p>
            <w:pPr>
              <w:spacing w:after="0"/>
              <w:rPr>
                <w:sz w:val="1"/>
                <w:szCs w:val="1"/>
                <w:color w:val="auto"/>
              </w:rPr>
            </w:pP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14,149</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Interest expense, net of interest income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(4,004)</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Total other expense, net</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(5,131)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(3,246)</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 before taxes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10,903</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5,748</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5,155</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Income (loss) from discontinued operations, net of tax</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5,298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Net earnings (loss) per basic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Net earnings (loss) per diluted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 from continuing operations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7"/>
                <w:szCs w:val="17"/>
                <w:color w:val="auto"/>
              </w:rPr>
              <w:t>Income (loss) from discontinued operations, net of tax</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rPr>
              <w:t>Weighted average shares used in calculating earnings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21,239</w:t>
            </w:r>
          </w:p>
        </w:tc>
        <w:tc>
          <w:tcPr>
            <w:tcW w:w="0" w:type="dxa"/>
            <w:vAlign w:val="bottom"/>
          </w:tcPr>
          <w:p>
            <w:pPr>
              <w:spacing w:after="0"/>
              <w:rPr>
                <w:sz w:val="1"/>
                <w:szCs w:val="1"/>
                <w:color w:val="auto"/>
              </w:rPr>
            </w:pPr>
          </w:p>
        </w:tc>
      </w:tr>
      <w:tr>
        <w:trPr>
          <w:trHeight w:val="239"/>
        </w:trPr>
        <w:tc>
          <w:tcPr>
            <w:tcW w:w="8340" w:type="dxa"/>
            <w:vAlign w:val="bottom"/>
          </w:tcPr>
          <w:p>
            <w:pPr>
              <w:ind w:left="38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21,592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21,474</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(3,264)</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5,298</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Unrealized gain on investment, net of tax</w:t>
            </w:r>
          </w:p>
        </w:tc>
        <w:tc>
          <w:tcPr>
            <w:tcW w:w="3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1,777</w:t>
            </w:r>
          </w:p>
        </w:tc>
        <w:tc>
          <w:tcPr>
            <w:tcW w:w="0" w:type="dxa"/>
            <w:vAlign w:val="bottom"/>
          </w:tcPr>
          <w:p>
            <w:pPr>
              <w:spacing w:after="0"/>
              <w:rPr>
                <w:sz w:val="1"/>
                <w:szCs w:val="1"/>
                <w:color w:val="auto"/>
              </w:rPr>
            </w:pPr>
          </w:p>
        </w:tc>
      </w:tr>
      <w:tr>
        <w:trPr>
          <w:trHeight w:val="31"/>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Unrealized gain on cash flow hedging instruments,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Other comprehensive income</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2,246</w:t>
            </w:r>
          </w:p>
        </w:tc>
        <w:tc>
          <w:tcPr>
            <w:tcW w:w="0" w:type="dxa"/>
            <w:vAlign w:val="bottom"/>
          </w:tcPr>
          <w:p>
            <w:pPr>
              <w:spacing w:after="0"/>
              <w:rPr>
                <w:sz w:val="1"/>
                <w:szCs w:val="1"/>
                <w:color w:val="auto"/>
              </w:rPr>
            </w:pPr>
          </w:p>
        </w:tc>
      </w:tr>
      <w:tr>
        <w:trPr>
          <w:trHeight w:val="31"/>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5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57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500"/>
        <w:spacing w:after="0" w:line="414" w:lineRule="auto"/>
        <w:rPr>
          <w:sz w:val="20"/>
          <w:szCs w:val="20"/>
          <w:color w:val="auto"/>
        </w:rPr>
      </w:pPr>
      <w:r>
        <w:rPr>
          <w:rFonts w:ascii="Arial" w:cs="Arial" w:eastAsia="Arial" w:hAnsi="Arial"/>
          <w:sz w:val="12"/>
          <w:szCs w:val="12"/>
          <w:b w:val="1"/>
          <w:bCs w:val="1"/>
          <w:color w:val="auto"/>
        </w:rPr>
        <w:t xml:space="preserve">Balance at December 31, 2017 </w:t>
      </w:r>
      <w:r>
        <w:rPr>
          <w:rFonts w:ascii="Arial" w:cs="Arial" w:eastAsia="Arial" w:hAnsi="Arial"/>
          <w:sz w:val="12"/>
          <w:szCs w:val="12"/>
          <w:color w:val="auto"/>
        </w:rPr>
        <w:t>Comprehensive income (loss)</w:t>
      </w:r>
    </w:p>
    <w:p>
      <w:pPr>
        <w:spacing w:after="0" w:line="1"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54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rPr>
        <w:t>Cumulative-effect adjustment from adoption of ASC 606</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2018</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24,098,822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(2,591,135)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(121,994)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434,256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180,443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503,316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198,546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34,177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5,280</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(75,832)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24,307,368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(2,632,790)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(123,235)</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438,325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179,135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507,470</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-1765935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-1423035</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-977265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-633730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-187960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380" w:space="40"/>
            <w:col w:w="900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fair value of contingent consideration liabilities</w:t>
            </w:r>
          </w:p>
        </w:tc>
        <w:tc>
          <w:tcPr>
            <w:tcW w:w="3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unbilled services,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(36,263)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(18,392)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(101,817)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note receivable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(108,541)</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(4,181)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of contingent consideration liabilities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122,551</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16,909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17,027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issued related to a business acquisition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92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92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months ended March 31, 2018 and 2017.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2017 included in our Annual Report on Form 10-K. Our results for any interim period are not necessarily indicative of results for a full year or any other interim period.</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On January 1, 2018, we adopted Accounting Standard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Below is an update to our revenue recognition and capitalized sales commissions accounting policies as a result of the adoption. Refer to Note 3 "New Accounting Pronouncements" for additional information on the adoption of ASU 2014-09.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related consulting services contract. License revenue from our research administration and compliance software is generally recognized in the month in which the software is delivered.</w:t>
      </w:r>
    </w:p>
    <w:p>
      <w:pPr>
        <w:spacing w:after="0" w:line="17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goods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6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Sales Commissions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three months ended March 31, 2018, the amount of capitalized sales commissions amortized was not material. Unamortized sales commissions were $0.3 million as of March 31,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The amendments to the guidance improve and simplify rules for hedge accounting to better present the economic results of an entity’s risk management activities in its financial statements and improve the disclosures of hedging arrangements. Additionally, ASU</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2017-12 simplifies the hedge documentation and effectiveness assessment requirements. We elected to early adopt this ASU effective January 1, 2018. The adoption of this guidance did not have an impact on our consolidated financial statements.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We adopted this ASU effective January 1, 2018. The adoption of this guidance did not have an impact on our consolidated financial statements.</w:t>
      </w:r>
    </w:p>
    <w:p>
      <w:pPr>
        <w:spacing w:after="0" w:line="13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 new Topic, ASC 606, which superseded ASC 605.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We adopted ASC 606 effective January 1, 2018 on a modified retrospective basis to all open contracts, as modified, as of that date. Adoption of the new standard resulted in changes to our accounting policy for revenue recognition, most notably for performance-based billing arrangements, and sales commissions. Refer to Note 2 "Basis of Presentation" for additional information on our new accounting policies related to revenue recognition and capitalized sales commissions. Adopting ASC 606 on a modified retrospective basis had no impact on our consolidated financial statements in the prior periods presented. Upon adoption, we recorded a $2.0 million cumulative-effect adjustment to record a net increase to retained earnings for the portion of performance-based billing arrangements that have been earned as of the adoption date but for which we had not recognized as revenue under previous revenue recognition guidance, the capitalization of sales commissions paid on open contracts as of the adoption date, and the related tax effects. The impact of the cumulative effect adjustment on our consolidated balance sheet upon adoption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Cumulative Effect</w:t>
            </w: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2017</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1, 2018</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 xml:space="preserve">Unbilled services, net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57,618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59,987</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16,752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16,065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25,545</w:t>
            </w:r>
          </w:p>
        </w:tc>
      </w:tr>
      <w:tr>
        <w:trPr>
          <w:trHeight w:val="324"/>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180,443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182,399</w:t>
            </w:r>
          </w:p>
        </w:tc>
      </w:tr>
    </w:tbl>
    <w:p>
      <w:pPr>
        <w:spacing w:after="0" w:line="175" w:lineRule="exact"/>
        <w:rPr>
          <w:sz w:val="20"/>
          <w:szCs w:val="20"/>
          <w:color w:val="auto"/>
        </w:rPr>
      </w:pPr>
    </w:p>
    <w:p>
      <w:pPr>
        <w:jc w:val="both"/>
        <w:ind w:left="640" w:right="80" w:hanging="632"/>
        <w:spacing w:after="0" w:line="286"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cumulative effect adjustment related to the portion of performance-based billing arrangements that have been earned as of the adoption date but for which we had not recognized as revenue under previous revenue recognition guidance was recorded as a contract asset within unbilled services, net on our consolidated balance sheet. Refer to Note 6 "Revenues" for additional information on our contract assets.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adoption on our consolidated balance sheet and income statement as of and for the three months ended March 31, 2018 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As of March 31, 2018</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4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 computed under</w:t>
            </w:r>
          </w:p>
        </w:tc>
        <w:tc>
          <w:tcPr>
            <w:tcW w:w="26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ASC 605</w:t>
            </w:r>
          </w:p>
        </w:tc>
        <w:tc>
          <w:tcPr>
            <w:tcW w:w="26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Receivables from clients,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105,725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net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5,427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15,821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84"/>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24,525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24,204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5,808</w:t>
            </w:r>
          </w:p>
        </w:tc>
      </w:tr>
      <w:tr>
        <w:trPr>
          <w:trHeight w:val="27"/>
        </w:trPr>
        <w:tc>
          <w:tcPr>
            <w:tcW w:w="5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1200" w:type="dxa"/>
            <w:vAlign w:val="bottom"/>
          </w:tcPr>
          <w:p>
            <w:pPr>
              <w:spacing w:after="0"/>
              <w:rPr>
                <w:sz w:val="20"/>
                <w:szCs w:val="20"/>
                <w:color w:val="auto"/>
              </w:rPr>
            </w:pPr>
          </w:p>
        </w:tc>
        <w:tc>
          <w:tcPr>
            <w:tcW w:w="4840" w:type="dxa"/>
            <w:vAlign w:val="bottom"/>
            <w:gridSpan w:val="7"/>
          </w:tcPr>
          <w:p>
            <w:pPr>
              <w:jc w:val="center"/>
              <w:ind w:right="1070"/>
              <w:spacing w:after="0"/>
              <w:rPr>
                <w:sz w:val="20"/>
                <w:szCs w:val="20"/>
                <w:color w:val="auto"/>
              </w:rPr>
            </w:pPr>
            <w:r>
              <w:rPr>
                <w:rFonts w:ascii="Arial" w:cs="Arial" w:eastAsia="Arial" w:hAnsi="Arial"/>
                <w:sz w:val="18"/>
                <w:szCs w:val="18"/>
                <w:b w:val="1"/>
                <w:bCs w:val="1"/>
                <w:color w:val="auto"/>
                <w:w w:val="92"/>
              </w:rPr>
              <w:t>Three Months Ended March 31, 2018</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line="263"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8"/>
                <w:szCs w:val="28"/>
                <w:color w:val="auto"/>
                <w:vertAlign w:val="superscript"/>
              </w:rPr>
              <w:t>(1)</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193,679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188,541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132,786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132,854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from continuing operations before taxes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5,206</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3,852</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(loss) per share from continuing operations - basic</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5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from continuing operations - diluted</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5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40" w:right="240" w:hanging="632"/>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in revenues due to the adoption of ASC 606 relates to revenue recognized for performance-based fee billing arrangements within our Healthcare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3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March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working capital adjustment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that may be paid is $35.0 million. See Note 11 "Fair Value of Financial Instruments" for additional information on the valuation of contingent consideration liabilities.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5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4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5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Innosight’s results of operations have been included in our unaudited consolidated statements of operations and results of operations of our Business Advisory segment from the date of acquisition. For the three months ended March 31, 2018, revenues from Innosight were $11.5 million and operating loss was $0.5 million, which included $0.8 million of amortization expense for intangible assets acquired. For the three months ended March 31, 2017, revenues from Innosight were $5.2 million and operating income was $1.2 million, which included $0.8 million of amortization expense for intangible assets acquired. In connection with the acquisition of Innosight, we incurred $1.7 million of transaction and acquisition-related expenses. Of the $1.7 million of expense, $1.4 million was incurred in the first quarter of 2017 and $0.3 million was incurred in the second quarter in 2017. These costs are recorded in selling, general and administrative expenses.</w:t>
      </w:r>
    </w:p>
    <w:p>
      <w:pPr>
        <w:spacing w:after="0" w:line="1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for the three months ended March 31, 2017 as though the companies were combined on January 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 2017</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197,974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8,079</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0.37</w:t>
            </w:r>
          </w:p>
        </w:tc>
      </w:tr>
    </w:tbl>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historical financial information has been adjusted to give effect to pro forma adjustments consisting of intangible asset amortization expense, acquisition-related costs, interest expense, and the related income tax effects, which totaled $0.9 million of additional expense for the three months ended March 31, 2017.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three months ended March 31,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Business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Advisory</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636,810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302,187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1,041,826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(396,076)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2017</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645,750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March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646,367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2018 and December 31, 2017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00"/>
              <w:spacing w:after="0"/>
              <w:rPr>
                <w:sz w:val="20"/>
                <w:szCs w:val="20"/>
                <w:color w:val="auto"/>
              </w:rPr>
            </w:pPr>
            <w:r>
              <w:rPr>
                <w:rFonts w:ascii="Arial" w:cs="Arial" w:eastAsia="Arial" w:hAnsi="Arial"/>
                <w:sz w:val="18"/>
                <w:szCs w:val="18"/>
                <w:b w:val="1"/>
                <w:bCs w:val="1"/>
                <w:color w:val="auto"/>
              </w:rPr>
              <w:t>As of March 31, 2018</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2017</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18,915</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3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172,086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105,583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106,577</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Intangible asset amortization expense was $6.3 million and $8.7 million for the three months ended March 31, 2018 and 2017, respectively. The table below sets forth the estimated annual amortization expense for the year ending December 31, 2018 and each of the five succeeding years for the definite-lived intangible assets recorded as of March 31,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Amortization</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17,364</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8,091</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3,512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2018 and 2017, we recognized total revenues of $193.7 million and $188.8 million, respectively. Of the $193.7 million recognized in the first quarter of 2018, we recognized revenues of $5.9 million from obligations satisfied, or partially satisfied, in prior periods, of which $3.1 million was primarily due to the release of allowances on unbilled services due to securing contract amendments and $2.8 million was due to changes in the estimates of our variable consideration under performance-based billing arrangements.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March 31, 2018, we had $47.9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$47.9 million of performance obligations, we expect to recognize approximately $36.4 million as revenue in 2018, $8.2 million in 2019, and the remaining $3.3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within unbilled services, net was $5.1 million as of March 31, 2018 and $2.4 million as of January 1, 2018, upon adoption of ASC 606. The $2.7 million increase primarily reflects timing differences between the completion of our performance obligations and the amounts billed or billable to clients in accordance with their contractual billing terms. Refer to Note 3 "New Accounting Pronouncements" for additional information on the adoption of ASC 606.</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March 31, 2018 and December 31, 2017, was $24.5 million and $27.9 million, respectively. The $3.4 million decrease primarily reflects timing differences between client payments in accordance with their contract terms and the completion of our performance obligations. For the three months ended March 31, 2018, $14.0 million of revenues recognized were included in the deferred revenue balance as of December 31, 2017.</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22860</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21,592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11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21,592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r>
      <w:tr>
        <w:trPr>
          <w:trHeight w:val="67"/>
        </w:trPr>
        <w:tc>
          <w:tcPr>
            <w:tcW w:w="766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76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1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00" w:type="dxa"/>
            <w:vAlign w:val="bottom"/>
            <w:gridSpan w:val="3"/>
          </w:tcPr>
          <w:p>
            <w:pPr>
              <w:ind w:left="1280"/>
              <w:spacing w:after="0"/>
              <w:rPr>
                <w:sz w:val="20"/>
                <w:szCs w:val="20"/>
                <w:color w:val="auto"/>
              </w:rPr>
            </w:pPr>
            <w:r>
              <w:rPr>
                <w:rFonts w:ascii="Arial" w:cs="Arial" w:eastAsia="Arial" w:hAnsi="Arial"/>
                <w:sz w:val="18"/>
                <w:szCs w:val="18"/>
                <w:b w:val="1"/>
                <w:bCs w:val="1"/>
                <w:color w:val="auto"/>
                <w:w w:val="97"/>
              </w:rPr>
              <w:t>As of March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840" w:type="dxa"/>
            <w:vAlign w:val="bottom"/>
            <w:vMerge w:val="restart"/>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2018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quarter of 2018 and 2017. As of March 31, 2018, $35.1 million remains available for share repurchases.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138,500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105,000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378,714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343,008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Current maturities of debt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378,210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342,507</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8"/>
        <w:spacing w:after="0" w:line="43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maturities of debt are included as a component of accrued expenses and other current liabilities on our consolidated balance sheets. Below is a summary of the scheduled remaining principal payments of our debt as of March 31, 2018.</w:t>
      </w: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250,515</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140,721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March 31, 2018, the remaining life of the Convertible Notes is 1.5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December 31, 2017, the Convertible Notes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8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jc w:val="right"/>
        <w:ind w:left="5620" w:right="5620" w:hanging="5612"/>
        <w:spacing w:after="0" w:line="659" w:lineRule="auto"/>
        <w:tabs>
          <w:tab w:leader="none" w:pos="639"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additional paid-in capital on the consolidated balance sheet.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22860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4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1,928</w:t>
            </w:r>
          </w:p>
        </w:tc>
      </w:tr>
      <w:tr>
        <w:trPr>
          <w:trHeight w:val="27"/>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3,013</w:t>
            </w:r>
          </w:p>
        </w:tc>
      </w:tr>
      <w:tr>
        <w:trPr>
          <w:trHeight w:val="27"/>
        </w:trPr>
        <w:tc>
          <w:tcPr>
            <w:tcW w:w="69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LIBOR borrowings, or between 0.25% per annum and 1.00% per annum, in the case of base rate loans, based upon our Consolidated Leverage Ratio at such time.</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right="220" w:firstLine="8"/>
        <w:spacing w:after="0" w:line="271"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March 31, 2018, we were in compliance with these financial covenants with a Consolidated Leverage Ratio of 3.77 to 1.00 and a Consolidated Interest Coverage Ratio of 10.00 to 1.00.</w:t>
      </w:r>
    </w:p>
    <w:p>
      <w:pPr>
        <w:spacing w:after="0" w:line="1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Borrowings outstanding under the Amended Credit Agreement at March 31, 2018 totaled $138.5 million. These borrowings carried a weighted average interest rate of 4.3%, including the effect of the interest rate swap described in Note 10 “Derivative Instruments and Hedging Activity." Borrowings outstanding under the Amended Credit Agreement at December 31, 2017 were $105.0 million and carried a weighted average interest rate of 3.7%, including the effect of the interest rate swap described in Note 10 “Derivative Instrument and Hedging Activity." The borrowing capacity under the revolving credit facility is reduced by any outstanding borrowings under the revolving credit facility and outstanding letters of credit. At March 31, 2018, we had outstanding letters of credit totaling $1.9 million, which are primarily used as security deposits for our office facilities. As of March 31, 2018, the unused borrowing capacity under the revolving credit facility was $359.6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March 31, 2018, the outstanding principal amount of the promissory note was $4.7 million. As of March 31, 2018, the aircraft had a carrying amount of $6.3 million. At December 31, 2017, the outstanding principal amount of the promissory note was $4.9 million, and the aircraft had a carrying amount of $6.5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Restructuring charges for the three months ended March 31, 2018 and 2017, totaled $0.7 million and $0.3 million, respectively. The $0.7 million charge incurred in the first quarter of 2018 primarily related to updated lease assumptions for our San Francisco office vacated in the third quarter of 2017. The $0.3 million charge incurred in the first quarter of 2017 primarily related to updated lease assumptions for our New York office.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three months ended March 31,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Office Space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Reductions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5,514</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4,548</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right="460" w:hanging="63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Adjustments for the three months ended March 31, 2018 include a restructuring charge of $0.1 million related to updated lease assumptions for vacated office spaces directly related to discontinued operations.</w:t>
      </w:r>
    </w:p>
    <w:p>
      <w:pPr>
        <w:spacing w:after="0" w:line="1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of March 31, 2018, our restructuring charge liability related to office space reductions of $4.3 million represented the present value of remaining lease payments, net of estimated sublease income, primarily for our vacated office spaces in Washington, D.C., Houston, San Francisco, and Chicago. This restructuring charge liability is included as a component of accrued expenses and other current liabilities and deferred compensation and other liabilities. All of the $0.3 million restructuring charge liability related to employee costs at March 31, 2018 is expected to be paid in the next 12 months. The restructuring charge liability related to employee costs is included as a component of accrued payroll and related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 and Hedging Activity</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and reclassified into interest expense upon settlement. As of March 31, 2018, it was anticipated that $0.1 million of the gains, net of tax, currently recorded in accumulated other comprehensive income will be reclassified into earnings within the next 12 months.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additional information relating to the interest rate swap designated as a cash flow hedging instrument as of March 31, 2018 and December 31,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7"/>
              </w:rPr>
              <w:t>Fair Value (Derivative Asset and Liability)</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8"/>
                <w:szCs w:val="18"/>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60" w:type="dxa"/>
            <w:vAlign w:val="bottom"/>
          </w:tcPr>
          <w:p>
            <w:pPr>
              <w:spacing w:after="0"/>
              <w:rPr>
                <w:sz w:val="20"/>
                <w:szCs w:val="20"/>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66"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2018 and December 31,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Promissory note</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19,046</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64,057</w:t>
            </w: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24,081</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24,081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24,081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Promissory note</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Deferred compensation assets</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17,786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17,786</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59,301</w:t>
            </w: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a discount rate reflecting the risks involved.</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we received a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promissory note payable over four years. During the fourth quarter of 2017, we amended and restated the note which established scheduled annual principal payments, increased the interest rate, reduced the outstanding principal amount by $0.5 million, and extended the maturity date to September 30, 2020. The scheduled principal payments will be paid to us annually until the maturity date of September 30, 2020, at which time the remaining principal balance and any accrued interest is due. The fair value of the note is based on the net present value of the projected cash flows using a discount rate of 10%, which accounts for the risks associated with the amended note. This fair value</w:t>
      </w:r>
    </w:p>
    <w:p>
      <w:pPr>
        <w:sectPr>
          <w:pgSz w:w="11900" w:h="16838" w:orient="portrait"/>
          <w:cols w:equalWidth="0" w:num="1">
            <w:col w:w="11420"/>
          </w:cols>
          <w:pgMar w:left="240" w:top="125" w:right="239" w:bottom="144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measurement is based on significant inputs not observable in the market and thus represent Level 3 inputs. As of March 31, 2018, $0.4 million is recorded in prepaid expenses and other current assets and represents the present value of the payments expected to be received in the next 12 months, and the remaining $0.7 million is recorded in other non-current assets. As of March 31, 2018, there was $1.0 million principal amount outstanding under the promissory note.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three months ended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1,064</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three months ended March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2,927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42,831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Deferred compensation assets: </w:t>
      </w:r>
      <w:r>
        <w:rPr>
          <w:rFonts w:ascii="Arial" w:cs="Arial" w:eastAsia="Arial" w:hAnsi="Arial"/>
          <w:sz w:val="16"/>
          <w:szCs w:val="16"/>
          <w:color w:val="auto"/>
        </w:rPr>
        <w:t>We have a non-qualified deferred compensation plan (the "Plan") for the members of our board of directors and a select group</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 Realized and unrealized gains (losses) from the deferred compensation assets are recorded to other income (expense), net in our consolidated statements of operations.</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Actual results may differ from our estimates. The table below sets forth the changes in the balance of the contingent consideration for business acquisitions for the three months ended March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24,081</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235,470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236,298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232,578</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differences between the $250 million principal amount of the Convertible Notes and the carrying amounts shown above represent the unamortized debt discount and issuance costs. As of March 31, 2018 and December 31, 2017,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March 31, 2018 and December 31, 2017.</w:t>
      </w:r>
    </w:p>
    <w:p>
      <w:pPr>
        <w:spacing w:after="0" w:line="13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closing price of our common stock of $38.10 on March 31, 2018,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the components of other comprehensive income, net of tax, for the three months ended March 31, 2018 and 2017.</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March 31, 2018</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2017</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Before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2,246</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2,632</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three months ended March 31, 2018, our effective tax rate was (14.7)% as we recognized income tax expense from continuing operations of $0.4 million on pre-tax loss from continuing operations of $2.8 million. The effective tax rate of (14.7)% was less favorable than the statutory rate, inclusive of state income taxes, of 26.0%, primarily due to discrete tax expense for share-based compensation awards that vested during the quarter and which had an unfavorable impact of 43.7% on the effective tax rate.</w:t>
      </w:r>
    </w:p>
    <w:p>
      <w:pPr>
        <w:spacing w:after="0" w:line="13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For the three months ended March 31, 2017, our effective tax rate was 52.7% as we recognized income tax expense of $5.7 million on pre-tax income from continuing operations of $10.9 million. The effective tax rate for the three months ended March 31, 2017 was less favorable than the statutory rate, inclusive of state income taxes, primarily due to discrete tax expense for share-based compensation which had an unfavorable impact of 14.5% related to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The less favorable effective tax rate was also due to certain non-deductible business expenses, partially offset by certain credits and deductions.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we had $0.8 million of unrecognized tax benefits which would affect the effective tax rate of continuing operations if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Guarantees in the form of letters of credit totaling $1.9 million were outstanding at both March 31, 2018 and December 31, 2017, primarily to support certain office lease obligations.</w:t>
      </w:r>
    </w:p>
    <w:p>
      <w:pPr>
        <w:spacing w:after="0" w:line="116"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2018 and December 31, 2017, the total estimated fair value of our contingent consideration liabilities was $24.1 million and $22.8 million, respectively.</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pacing w:after="0" w:line="1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strategy and innovation,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00"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b w:val="1"/>
          <w:bCs w:val="1"/>
          <w:color w:val="auto"/>
        </w:rPr>
      </w:pPr>
    </w:p>
    <w:p>
      <w:pPr>
        <w:ind w:left="660" w:right="1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color w:val="auto"/>
        </w:rPr>
      </w:pPr>
    </w:p>
    <w:p>
      <w:pPr>
        <w:ind w:left="660" w:right="20"/>
        <w:spacing w:after="0" w:line="254" w:lineRule="auto"/>
        <w:rPr>
          <w:rFonts w:ascii="Arial" w:cs="Arial" w:eastAsia="Arial" w:hAnsi="Arial"/>
          <w:sz w:val="18"/>
          <w:szCs w:val="18"/>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about our operating segments for the three months ended March 31, 2018 and 2017, along with the items necessary to reconcile the segment information to the totals reported in the accompanying consolidated financial statements.</w:t>
      </w:r>
    </w:p>
    <w:p>
      <w:pPr>
        <w:spacing w:after="0" w:line="112"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22860</wp:posOffset>
            </wp:positionV>
            <wp:extent cx="2040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89,895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98,452</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34,150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55,895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48,116</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9,866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47,889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42,281</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11,515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193,679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188,849</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16,950</w:t>
            </w:r>
          </w:p>
        </w:tc>
      </w:tr>
      <w:tr>
        <w:trPr>
          <w:trHeight w:val="237"/>
        </w:trPr>
        <w:tc>
          <w:tcPr>
            <w:tcW w:w="820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211,298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205,799</w:t>
            </w:r>
          </w:p>
        </w:tc>
      </w:tr>
      <w:tr>
        <w:trPr>
          <w:trHeight w:val="67"/>
        </w:trPr>
        <w:tc>
          <w:tcPr>
            <w:tcW w:w="8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1"/>
        </w:trPr>
        <w:tc>
          <w:tcPr>
            <w:tcW w:w="8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44,883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55,531</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32,463</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8,919</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3,246</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10,903</w:t>
            </w:r>
          </w:p>
        </w:tc>
      </w:tr>
      <w:tr>
        <w:trPr>
          <w:trHeight w:val="27"/>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40" w:type="dxa"/>
            <w:vAlign w:val="bottom"/>
            <w:gridSpan w:val="8"/>
          </w:tcPr>
          <w:p>
            <w:pPr>
              <w:jc w:val="right"/>
              <w:ind w:right="50"/>
              <w:spacing w:after="0"/>
              <w:rPr>
                <w:sz w:val="20"/>
                <w:szCs w:val="20"/>
                <w:color w:val="auto"/>
              </w:rPr>
            </w:pPr>
            <w:r>
              <w:rPr>
                <w:rFonts w:ascii="Arial" w:cs="Arial" w:eastAsia="Arial" w:hAnsi="Arial"/>
                <w:sz w:val="18"/>
                <w:szCs w:val="18"/>
                <w:b w:val="1"/>
                <w:bCs w:val="1"/>
                <w:color w:val="auto"/>
                <w:w w:val="89"/>
              </w:rPr>
              <w:t>Three months ended March 31, 2018</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Business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1"/>
              </w:rPr>
              <w:t>Healthcare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Advisory</w:t>
            </w:r>
          </w:p>
        </w:tc>
        <w:tc>
          <w:tcPr>
            <w:tcW w:w="2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60,269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93,995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31,337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77,568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89,895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55,895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193,679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59,273</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53,416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41,632</w:t>
            </w:r>
          </w:p>
        </w:tc>
        <w:tc>
          <w:tcPr>
            <w:tcW w:w="100" w:type="dxa"/>
            <w:vAlign w:val="bottom"/>
            <w:shd w:val="clear" w:color="auto" w:fill="CCEEFF"/>
          </w:tcPr>
          <w:p>
            <w:pPr>
              <w:spacing w:after="0"/>
              <w:rPr>
                <w:sz w:val="21"/>
                <w:szCs w:val="21"/>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154,321</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CCEEFF"/>
            </w:tcBorders>
            <w:gridSpan w:val="3"/>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30,622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2,479</w:t>
            </w:r>
          </w:p>
        </w:tc>
        <w:tc>
          <w:tcPr>
            <w:tcW w:w="240" w:type="dxa"/>
            <w:vAlign w:val="bottom"/>
          </w:tcPr>
          <w:p>
            <w:pPr>
              <w:spacing w:after="0"/>
              <w:rPr>
                <w:sz w:val="21"/>
                <w:szCs w:val="2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39,358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89,895</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193,679</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 recognized over time</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88,341</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55,895</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46,585</w:t>
            </w:r>
          </w:p>
        </w:tc>
        <w:tc>
          <w:tcPr>
            <w:tcW w:w="100" w:type="dxa"/>
            <w:vAlign w:val="bottom"/>
          </w:tcPr>
          <w:p>
            <w:pPr>
              <w:spacing w:after="0"/>
              <w:rPr>
                <w:sz w:val="21"/>
                <w:szCs w:val="21"/>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190,821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shd w:val="clear" w:color="auto" w:fill="CCEEFF"/>
          </w:tcPr>
          <w:p>
            <w:pPr>
              <w:spacing w:after="0"/>
              <w:rPr>
                <w:sz w:val="21"/>
                <w:szCs w:val="2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89,895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55,895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47,889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193,679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our cultural transformation consultants within our Studer Group solution, which include coaches and their support staff, as well as consultants who work variable schedules as needed by our clients and full-time employees who provide software support and maintenance services to our clients.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2018 and December 31, 2017, no single client accounted for greater than 10% of our combined receivables and unbilled services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 and 2017, no single client generated greater than 10% of our consolidated revenues.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2017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its clients. We bring a depth of expertise in strategy, technology, operations, advisory services, and analytics to drive lasting and measurable results in the healthcare, higher education, life sciences and commercial sectors.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provide professional services through three operating segments: Healthcare, Business Advisory, and Education.</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71"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has a depth of expertise in strategy and innovation,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34"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patient experience.</w:t>
      </w:r>
    </w:p>
    <w:p>
      <w:pPr>
        <w:spacing w:after="0" w:line="10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Business Advisory</w:t>
      </w:r>
    </w:p>
    <w:p>
      <w:pPr>
        <w:spacing w:after="0" w:line="171" w:lineRule="exact"/>
        <w:rPr>
          <w:rFonts w:ascii="Arial" w:cs="Arial" w:eastAsia="Arial" w:hAnsi="Arial"/>
          <w:sz w:val="18"/>
          <w:szCs w:val="18"/>
          <w:color w:val="auto"/>
        </w:rPr>
      </w:pPr>
    </w:p>
    <w:p>
      <w:pPr>
        <w:ind w:left="660" w:right="100"/>
        <w:spacing w:after="0" w:line="270" w:lineRule="auto"/>
        <w:rPr>
          <w:rFonts w:ascii="Arial" w:cs="Arial" w:eastAsia="Arial" w:hAnsi="Arial"/>
          <w:sz w:val="18"/>
          <w:szCs w:val="18"/>
          <w:color w:val="auto"/>
        </w:rPr>
      </w:pPr>
      <w:r>
        <w:rPr>
          <w:rFonts w:ascii="Arial" w:cs="Arial" w:eastAsia="Arial" w:hAnsi="Arial"/>
          <w:sz w:val="17"/>
          <w:szCs w:val="17"/>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ectPr>
          <w:pgSz w:w="11900" w:h="16838" w:orient="portrait"/>
          <w:cols w:equalWidth="0" w:num="1">
            <w:col w:w="11360"/>
          </w:cols>
          <w:pgMar w:left="240" w:top="125" w:right="29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60"/>
          </w:cols>
          <w:pgMar w:left="240" w:top="125" w:right="2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71" w:lineRule="exact"/>
        <w:rPr>
          <w:rFonts w:ascii="Arial" w:cs="Arial" w:eastAsia="Arial" w:hAnsi="Arial"/>
          <w:sz w:val="18"/>
          <w:szCs w:val="18"/>
          <w:b w:val="1"/>
          <w:bCs w:val="1"/>
          <w:color w:val="auto"/>
        </w:rPr>
      </w:pPr>
    </w:p>
    <w:p>
      <w:pPr>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Education segment provides management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8"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Huron is a Platinum level member of the Oracle PartnerNetwork (OPN), a Workday Services Partner, and a Gold level consulting partner with Salesforce.com.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Reorganization</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second quarter of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In these engagements, it is the client’s expectation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Fixed-fee engagements represented 48.5% and 45.5% of our revenues for the three months ended March 31, 2018 and 2017, respectively.</w:t>
      </w:r>
    </w:p>
    <w:p>
      <w:pPr>
        <w:spacing w:after="0" w:line="17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w:t>
      </w:r>
    </w:p>
    <w:p>
      <w:pPr>
        <w:sectPr>
          <w:pgSz w:w="11900" w:h="16838" w:orient="portrait"/>
          <w:cols w:equalWidth="0" w:num="1">
            <w:col w:w="11400"/>
          </w:cols>
          <w:pgMar w:left="240" w:top="125"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related services or publications are provided. Time-and-expense engagements represented 40.1% and 43.0% of our revenues for the three months ended March 31, 2018 and 2017, respectively.</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fixed-fee or time-and-expense engagements. Effective January 1, 2018, we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on a modified retrospective basis and began recognizing revenues under performance-based billing arrangements by estimating the amount of variable consideration that is probable of being earned, and recognizing that estimate over the length of the contract using a proportionate performance approach. Prior to adopting ASC 606 in 2018, we recognized revenues under performance-based billing arrangements when all related performance criteria were met. Refer to Note 2 "Basis of Presentation" and Note 3 "New Accounting Pronouncements" for additional information on our adoption of ASC 606. Performance-based fee revenues represented 5.7% and 6.5% of our revenues for the three months ended March 31, 2018 and 2017, respectively. Refer to our Segment Results discussed below for additional information on the impact of ASC 606 on our performance-based fee revenues.</w:t>
      </w:r>
    </w:p>
    <w:p>
      <w:pPr>
        <w:spacing w:after="0" w:line="11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 Software support, maintenance and subscription revenues represented 5.7% and 5.0% of our revenues for the three months ended March 31, 2018 and 2017, respectively.</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During the second quarter of 2017, we reorganized our internal financial reporting structure by moving our Life Sciences practice from the Education and Life Sciences segment to the Business Advisory segment. The remaining Education and Life Sciences segment is now referred to as the Education segment. While our consolidated results have not been impacted, we have reclassified our historical segment information for consistent presentation.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Segment and Consolidated Operating Results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22860</wp:posOffset>
            </wp:positionV>
            <wp:extent cx="2186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8"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373" w:lineRule="exact"/>
        <w:rPr>
          <w:sz w:val="20"/>
          <w:szCs w:val="20"/>
          <w:color w:val="auto"/>
        </w:rPr>
      </w:pPr>
    </w:p>
    <w:p>
      <w:pPr>
        <w:sectPr>
          <w:pgSz w:w="11900" w:h="16838" w:orient="portrait"/>
          <w:cols w:equalWidth="0" w:num="2">
            <w:col w:w="7900" w:space="720"/>
            <w:col w:w="28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89,895</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98,452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55,895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48,116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Operating income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47,889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42,281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193,679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188,849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revenues and reimbursable expenses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211,298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205,799</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Statements of Operations reconciliation:</w:t>
            </w:r>
          </w:p>
        </w:tc>
        <w:tc>
          <w:tcPr>
            <w:tcW w:w="5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44,883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55,531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32,928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32,463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14,149</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5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 expense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Earnings (loss) per share from continuing operations:</w:t>
            </w: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22860</wp:posOffset>
            </wp:positionV>
            <wp:extent cx="21780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857</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680</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478</w:t>
            </w:r>
          </w:p>
        </w:tc>
      </w:tr>
      <w:tr>
        <w:trPr>
          <w:trHeight w:val="27"/>
        </w:trPr>
        <w:tc>
          <w:tcPr>
            <w:tcW w:w="7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2,015</w:t>
            </w:r>
          </w:p>
        </w:tc>
      </w:tr>
      <w:tr>
        <w:trPr>
          <w:trHeight w:val="270"/>
        </w:trPr>
        <w:tc>
          <w:tcPr>
            <w:tcW w:w="79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867</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627</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w:t>
            </w:r>
          </w:p>
        </w:tc>
      </w:tr>
      <w:tr>
        <w:trPr>
          <w:trHeight w:val="237"/>
        </w:trPr>
        <w:tc>
          <w:tcPr>
            <w:tcW w:w="79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1,965</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70"/>
        </w:trPr>
        <w:tc>
          <w:tcPr>
            <w:tcW w:w="79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228</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199</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r>
      <w:tr>
        <w:trPr>
          <w:trHeight w:val="243"/>
        </w:trPr>
        <w:tc>
          <w:tcPr>
            <w:tcW w:w="79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216</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76</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78</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r>
      <w:tr>
        <w:trPr>
          <w:trHeight w:val="270"/>
        </w:trPr>
        <w:tc>
          <w:tcPr>
            <w:tcW w:w="79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37"/>
        </w:trPr>
        <w:tc>
          <w:tcPr>
            <w:tcW w:w="79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276</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Healthcare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150</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146</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60" w:hanging="532"/>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22860</wp:posOffset>
            </wp:positionV>
            <wp:extent cx="21869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193,679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188,849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11,905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26,812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13,687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EBITDA as a percentage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21,592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Non-cash interest on convertible notes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Tax expense related to the enactment of Tax Cut and Jobs Act of 2017</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Adjusted weighted average shares - diluted</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21,813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6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663"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Other losses: </w:t>
      </w:r>
      <w:r>
        <w:rPr>
          <w:rFonts w:ascii="Arial" w:cs="Arial" w:eastAsia="Arial" w:hAnsi="Arial"/>
          <w:sz w:val="18"/>
          <w:szCs w:val="18"/>
          <w:color w:val="auto"/>
        </w:rPr>
        <w:t>We have excluded the effects of remeasurement losses related to contingent acquisition liabilities to permit comparability with periods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not impacted by these items.</w:t>
      </w:r>
    </w:p>
    <w:p>
      <w:pPr>
        <w:spacing w:after="0" w:line="116"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Tax expense related to the enactment of Tax Cuts and Jobs Act of 2017 ("2017 Tax Reform"): </w:t>
      </w:r>
      <w:r>
        <w:rPr>
          <w:rFonts w:ascii="Arial" w:cs="Arial" w:eastAsia="Arial" w:hAnsi="Arial"/>
          <w:sz w:val="17"/>
          <w:szCs w:val="17"/>
          <w:color w:val="auto"/>
        </w:rPr>
        <w:t>We have excluded the impact of the 2017 Tax Reform,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enacted in the fourth quarter of 2017. In the first quarter of 2018, we recorded an adjustment to our estimated one-time income tax expense related to the transition tax on accumulated foreign earnings. The exclusion of the 2017 Tax Reform impact permits comparability with prior periods.</w:t>
      </w:r>
    </w:p>
    <w:p>
      <w:pPr>
        <w:spacing w:after="0" w:line="111"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three months ended March 31, 2018,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three months ended March 31, 2018, the non-GAAP adjustments described above resulted in an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4540"/>
        <w:spacing w:after="0" w:line="440" w:lineRule="auto"/>
        <w:rPr>
          <w:sz w:val="20"/>
          <w:szCs w:val="20"/>
          <w:color w:val="auto"/>
        </w:rPr>
      </w:pPr>
      <w:r>
        <w:rPr>
          <w:rFonts w:ascii="Arial" w:cs="Arial" w:eastAsia="Arial" w:hAnsi="Arial"/>
          <w:sz w:val="18"/>
          <w:szCs w:val="18"/>
          <w:b w:val="1"/>
          <w:bCs w:val="1"/>
          <w:color w:val="auto"/>
        </w:rPr>
        <w:t>Three Months Ended March 31, 2018 Compared to Three Months Ended March 31, 2017 Revenues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increased $4.8 million, or 2.6%, to $193.7 million for the first quarter of 2018 from $188.8 million for the first quarter of 2017. First quarter 2018 revenues included $6.4 million of incremental revenues due to the full quarter impact of our acquisition of Innosight, which was completed in March 2017, as well as revenues from our acquisition of the international assets of ADI Strategies, which was completed in April 2017 and has since been fully integrated into the Business Advisory segment.</w:t>
      </w:r>
    </w:p>
    <w:p>
      <w:pPr>
        <w:spacing w:after="0" w:line="13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On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a modified retrospective basis, which resulted in changes to our accounting policy for revenue recognition, most notably for performance-based billing arrangements. During the first quarter of 2018, performance-based fee revenue was $11.1 million compared to $12.2 million in the same prior year period. Refer to Note 2 "Basis of Presentation" and Note 3 "New Accounting Pronouncements" within the notes to our consolidated financial statements for additional information on our adoption of ASC 606.</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the overall $4.8 million increase in revenues, $5.8 million was attributable to an increase in revenues from our full-time billable consultants, partially offset by a $1.0 million decrease in revenues attributable to our full-time equivalents.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full-time billable consultant revenues reflected an increase in the average number of billable consultants, partially offset by a decrease in the average billing rate for the first quarter of 2018 compared to the same prior year period. As discussed below in Segment Results, the increase in full-time billable consultant revenues primarily reflected our acquisition of Innosight and strengthened demand for our services in the Education segment, partially offset by a decreased demand for our services in the Healthcare segment.</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decrease in full-time equivalent revenues was primarily attributable to a decrease in revenue from our Studer Group solution, partially offset by an increased use of contractors in our Healthcare segment, as discussed below in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$15.3 million, or 12.9%, to $134.0 million in the three months ended March 31, 2018, from $118.7 million in the three months ended March 31, 2017. The $15.3 million increase primarily related to a $9.5 million increase in salaries and related expenses for our revenue-generating professionals, which was largely driven by increased headcount in our Business Advisory and Education segments, partially offset by headcount reductions in our Healthcare segment. Additional increases included a $5.9 million increase in performance bonus expense for our revenue-generating professionals and a $1.1 million increase in contractor expense. These increases were partially offset by a $1.9 million decrease in amortization of intangible assets. As a percentage of revenues, our total direct costs increased to 69.2% during the first quarter of 2018 compared to 62.9% during the first quarter of 2017, primarily due to the items described above.</w:t>
      </w:r>
    </w:p>
    <w:p>
      <w:pPr>
        <w:spacing w:after="0" w:line="1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Total direct costs for the three months ended March 31, 2018 included $1.2 million of amortization expense for intangible assets, primarily representing customer contracts and software acquired in business combinations, and internal software development costs, compared to $3.0 million of amortization expense for the same prior year period. The $1.8 million decrease in amortization expense was primarily attributable to the decreasing amortization expense of customer contracts acquired in our Studer Group acquisition, due to the accelerated basis of amortization, and the customer contracts acquired in our Innosight acquisition which were fully amortized in 2017. See Note 4 "Acquisitions" and Note 5 "Goodwill and Intangible Assets" within the notes to our consolidated financial statements for additional information about our intangible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general and administrative expenses increased slightly by $0.2 million, or 0.5%, to $47.1 million in the first quarter of 2018 from $46.9 million in the first quarter of 2017. Selling, general and administrative expenses for the first quarter of 2018 included an incremental $2.6 million of expenses due to the full quarter impact of the Innosight acquisition. The overall $0.2 million increase primarily related to a $1.0 million increase in performance bonus expense for our support personnel, a $0.9 million increase in practice administration and meetings expenses, a $0.5 million increase in promotion and sponsorship expenses, and a $0.5 million increase in facilities and other office-related expenses. These increases were largely offset by a $1.4 million decrease in legal expenses and a $1.2 million decrease in salaries and related expenses for our support personnel. As a percentage of revenues, selling, general and administrative expenses decreased to 24.3% during the first quarter of 2018 compared to 24.8% during the first quarter of 2017, primarily due to the items described above.</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Restructuring charges for the first quarter of 2018 totaled $0.7 million, compared to $0.3 million for the first quarter of 2017. The $0.7 million charge incurred in the first quarter of 2018 primarily related to updated lease assumptions for our San Francisco office vacated in the third quarter of 2017. The $0.3 million charge incurred in the first quarter of 2017 primarily related to updated lease assumptions for our New York office. See Note 9 "Restructuring Charges" within the notes to our consolidated financial statements for additional information on our restructuring charges.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 losses totaled $0.8 million for the three months ended March 31, 2018, and represent increases in the estimated fair values of our liabilities for contingent consideration payments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3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Depreciation and amortization expense was $8.8 million in the three months ended March 31, 2018 compared to $8.9 million in the three months ended March 31, 2017. Intangible asset amortization included within operating expenses primarily relates to certain customer relationships, trade names, and non-compete agreements acquired in connection with our business acquisitions. See Note 4 "Acquisitions" and Note 5 "Goodwill and Intangible Assets" within the notes to our consolidated financial statements for additional information on our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income decreased $11.8 million to $2.3 million in the first quarter of 2018 from $14.1 million in the first quarter of 2017. Operating margin, which is defined as operating income expressed as a percentage of revenues, decreased to 1.2% in the three months ended March 31, 2018, compared to 7.5% in the three months ended March 31, 2017. The decrease in operating margin was primarily attributable to the increases in salaries and related expenses and performance bonus expense for our revenue-generating professionals, all as a percentage of revenues.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other expense, net increased by $1.9 million to $5.1 million in the first quarter of 2018 from $3.2 million in the first quarter of 2017. The increase in total other expense, net was attributable to a $0.2 million loss in the first quarter of 2018 on the market value of our investments that are used to fund our deferred compensation liability, compared to a $0.8 million gain in the first quarter of 2017, as well as a $1.0 million increase in interest expense, net of interest income, which was primarily due to higher interest rates under our credit facility during the first quarter of 2018 compared to the first quarter of 2017.</w:t>
      </w:r>
    </w:p>
    <w:p>
      <w:pPr>
        <w:sectPr>
          <w:pgSz w:w="11900" w:h="16838" w:orient="portrait"/>
          <w:cols w:equalWidth="0" w:num="1">
            <w:col w:w="11400"/>
          </w:cols>
          <w:pgMar w:left="240" w:top="125"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25"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three months ended March 31, 2018, our effective tax rate was (14.7)% as we recognized income tax expense from continuing operations of $0.4 million on pre-tax loss from continuing operations of $2.8 million. The effective tax rate of (14.7)% was less favorable than the statutory rate, inclusive of state income taxes, of 26.0%, primarily due to discrete tax expense for share-based compensation awards that vested during the quarter and which had an unfavorable impact of 43.7% on the effective tax rate.</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For the three months ended March 31, 2017, our effective tax rate was 52.7% as we recognized income tax expense of $5.7 million on pre-tax income from continuing operations of $10.9 million. The effective tax rate for the three months ended March 31, 2017 was less favorable than the statutory rate, inclusive of state income taxes, primarily due to discrete tax expense for share-based compensation which had an unfavorable impact of 14.5% related to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The less favorable effective tax rate was also due to certain non-deductible business expenses, partially offset by certain credits and deductions.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from continuing operations decreased by $8.4 million to a net loss from continuing operations of $3.2 million for the three months ended March 31, 2018, from net income from continuing operations of $5.2 million for the same period last year. As a result of the decrease in net income from continuing operations, diluted loss per share from continuing operations for the first quarter of 2018 was $0.15 compared to diluted earnings per share from continuing operations of $0.24 for the first quarter of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EBITDA decreased $14.6 million to $12.2 million for the three months ended March 31, 2018 from $26.8 million for the three months ended March 31, 2017. Adjusted EBITDA decreased $13.4 million to $13.7 million in the first quarter of 2018 from $27.1 million in the first quarter of 2017. The decrease in EBITDA and adjusted EBITDA was primarily due to the decrease in segment operating income, as discussed below in Segment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Adjusted net income from continuing operations decreased $7.6 million to $4.2 million in the first quarter of 2018 compared to $11.8 million in the first quarter of 2017. As a result of the decrease in adjusted net income from continuing operations, adjusted diluted earnings per share from continuing operations was $0.19 for the first quarter of 2018, compared to $0.55 for the first quarter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Healthcare segment revenues decreased $8.6 million, or 8.7%, to $89.9 million for the first quarter of 2018 from $98.5 million for the first quarter of 2017.</w:t>
      </w:r>
    </w:p>
    <w:p>
      <w:pPr>
        <w:spacing w:after="0" w:line="1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the three months ended March 31, 2018, revenues from fixed-fee engagements; time-and-expense engagements; performance-based arrangements; and software support, maintenance and subscription arrangements represented 67.0%, 14.2%, 11.4%, and 7.4% of this segment’s revenues, respectively, compared to 66.1%, 15.2%, 11.9%, and 6.8% of this segment’s revenues, respectively, for the same prior year period.</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the overall $8.6 million decrease in revenues, $6.8 million was attributable to a decrease in revenues from our full-time billable consultants and $1.8 million was attributable to a decrease in revenue generated by our full-time equivalents.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decrease in revenue attributable to our full-time billable consultants reflected decreases in the average billing rate and average number of full-time billable consultants, partially offset by an increase in the consultant utilization rate. Performance-based fee revenue was $10.2 million for the first quarter of 2018, and was recognized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was adopted on a modified retrospective basis on January 1, 2018. Performance-based fee revenue for the first quarter of 2017 was $11.7 million, and was recognized in accordance with ASC 605. Refer to Note 2 "Basis of Presentation" and Note 3 "New Accounting Pronouncements" within the notes to our consolidated financial statements for additional information on our adoption of ASC 606. The level of performance-based fees earned may vary based on our clients’ risk sharing preferences and the mix of services we provide.</w:t>
      </w:r>
    </w:p>
    <w:p>
      <w:pPr>
        <w:spacing w:after="0" w:line="13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decrease in revenue attributable to our full-time equivalents was primarily driven by a decreased demand for our Studer Group solution, partially offset by an increased use of contractors, and reflected decreases in the average number of full-time equivalents and revenue per full-time equivalent.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Healthcare segment operating income decreased $9.7 million, or 28.4%, to $24.5 million for the three months ended March 31, 2018 from $34.2 million for the three months ended March 31, 2017. The Healthcare segment operating margin, defined as segment operating income expressed as a percentage of segment revenues, decreased to 27.2% for the first quarter of 2018 from 34.7% in the same period last year. The decrease in this segment’s operating margin was primarily attributable to increases in performance bonus expense and salaries and related expenses for our revenue-generating professionals, both as a percentage of revenues, as well as increases in contractor expense and practice administration and meetings expenses. These decreases to the operating margin were partially offset by a decrease in intangible asset amortization expense as a percentage of revenues.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Business Advisory segment revenues increased $7.8 million, or 16.2%, to $55.9 million for the first quarter of 2018 from $48.1 million for the first quarter of 2017. First quarter 2018 revenues included $6.4 million of incremental revenues due to the full quarter impact of our acquisition of Innosight, which was completed in March 2017, as well as revenues from our acquisition of the international assets of ADI Strategies, which was completed in April 2017 and has since been fully integrated into the Business Advisory segment.</w:t>
      </w:r>
    </w:p>
    <w:p>
      <w:pPr>
        <w:spacing w:after="0" w:line="13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months ended March 31, 2018, revenues from fixed-fee engagements; time-and-expense engagements; performance-based arrangements; and software support, maintenance and subscription arrangements represented 40.1%, 56.1%, 1.6%, and 2.2% of this segment’s revenues, respectively, compared to 29.0%, 69.5%, 0.4%, and 1.1% of this segment’s revenues, respectively, for the same prior year period. Performance-based fee revenue was $0.9 million for the first quarter of 2018, compared to $0.2 million for the same prior year period. Refer to Note 2 "Basis of Presentation" and Note 3 "New Accounting Pronouncements" within the notes to our consolidated financial statements for additional information on our adoption of ASC 606. The level of performance-based fees earned may vary based on our clients’ preferences and the mix of services we provide.</w:t>
      </w:r>
    </w:p>
    <w:p>
      <w:pPr>
        <w:spacing w:after="0" w:line="1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 the overall $7.8 million increase in revenues, $7.4 million was attributable to our full-time billable consultants and $0.4 million was attributable to our full-time equivalents. The increase in revenue from our full-time billable consultants was largely driven by our acquisitions of Innosight and the international assets of ADI Strategies, and reflected an increase in the average number of full-time billable consultants, partially offset by decreases in the consultant utilization rate and the average billing rate. The increase in revenue from our full-time equivalents reflected an increase in revenue per full-time equivalent, partially offset by a decrease in the average number of full-time equivalents in the first quarter of 2018 compared to the same prior year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Business Advisory segment operating income decreased by $0.9 million, or 8.8%, to $9.0 million for the three months ended March 31, 2018 from $9.9 million for the three months ended March 31, 2017. Segment operating margin decreased to 16.1% for the first quarter of 2018 from 20.5% in the same period last year. The decrease in this segment’s operating margin was primarily attributable to increases in performance bonus expense and salaries and related expenses for our revenue-generating professionals, as well as an increase in promotion and sponsorship expenses, all as a percentage of revenues, partially offset by decreases in salaries and related expenses for our support personnel, amortization of intangible assets, and practice administration and meetings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Education segment revenues increased $5.6 million, or 13.3%, to $47.9 million for the first quarter of 2018 from $42.3 million for the first quarter of 2017.</w:t>
      </w:r>
    </w:p>
    <w:p>
      <w:pPr>
        <w:spacing w:after="0" w:line="1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months ended March 31, 2018, revenues from fixed-fee engagements; time-and-expense engagements; and software support, maintenance and subscription arrangements represented 23.6%, 69.8%, and 6.6% of this segment’s revenues, respectively. During the three months ended March 31, 2017, revenues from fixed-fee engagements; time-and-expense engagements; performance-based arrangements; and software support, maintenance and subscription arrangements represented 16.1%, 77.8%, 0.6%, and 5.5% of this segment’s revenues, respectively.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overall $5.6 million increase in revenues, $5.1 million was attributable to our full-time billable consultants and $0.5 million was attributable to our full-time equivalents. The increase in revenue attributable to our full-time billable consultants reflected an increase in the average number of full-time billable consultants, partially offset by a decrease in the average billing rate in the first quarter of 2018 compared to the same prior year period. The increase in revenue from our full-time equivalents reflected an increase in revenue per full-time equivalent in the first quarter of 2018 compared to the same prior year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Education segment operating income was $11.4 million for the three months ended March 31, 2018 compared to $11.5 million for the three months ended March 31, 2017. Segment operating margin decreased to 23.9% for the first quarter of 2018 from 27.2% in the same period last year. The decrease in this segment’s operating margin was primarily attributable to an increase in salaries and related expenses for our revenue-generating professionals as a percentage of revenues, as well as an increase in practice administration and meetings expenses as a percentage of revenues These increases were partially offset by decreases in salaries and related expenses for our support personnel and share-based compensation expense for our revenue-generating professionals.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Cash and cash equivalents decreased $10.5 million, from $16.9 million at December 31, 2017 to $6.4 million at March 31, 2018. As of March 31, 2018,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(18,392)</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(108,541)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122,551</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operating activities totaled $36.3 million and $18.4 million for the three months ended March 31, 2018 and 2017,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decrease in cash provided by operations for the first three months of 2018 compared to the same prior year period was primarily attributable to a decrease in cash collections from clients and lower net income, partially offset by a decrease in the amount paid for annual performance bonuses during the first quarter of 2018 compared to the first quarter of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$3.8 million and $108.5 million for the three months ended March 31, 2018 and 2017, respectively.</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use of cash in the first three months of 2018 primarily consisted of $1.5 million for contributions to our life insurance policies which fund our deferred compensation plan; $1.4 million for purchases of property and equipment, primarily related to purchases of computers and related equipment; and $0.7 million for payments related to internally developed software.</w:t>
      </w:r>
    </w:p>
    <w:p>
      <w:pPr>
        <w:spacing w:after="0" w:line="12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use of cash in the first three months of 2017 primarily consisted of $101.8 million for the purchases of businesses and $6.5 million for purchases of property and equipment, primarily related to leasehold improvements and purchases of furniture and fixtures for new office spaces in certain locations.</w:t>
      </w:r>
    </w:p>
    <w:p>
      <w:pPr>
        <w:spacing w:after="0" w:line="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estimate that cash utilized for purchases of property and equipment in 2018 will be approximately $15.0 million, primarily consisting of information technology related equipment to support our corporate infrastructure, software development costs, and leasehold improvements.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Net cash provided by financing activities was $29.5 million for the three months ended March 31, 2018. During the first three months of 2018, we borrowed $91.5 million under our credit facility, primarily to fund our annual performance bonus payment, and made repayments on our credit facility of $58.0 million.</w:t>
      </w:r>
    </w:p>
    <w:p>
      <w:pPr>
        <w:spacing w:after="0" w:line="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cash provided by financing activities was $122.6 million for the three months ended March 31, 2017. During the first three months of 2017, we borrowed $179.0 million under our credit facility, primarily to fund our acquisitions of Innosight and Pope Woodhead and our annual performance bonus payment, and made repayments on our credit facility of $51.0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currently have a share repurchase program permitting us to repurchase up to $125 million of our common stock through October 31, 2018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in the first quarter of 2018 or 2017. As of March 31, 2018, $35.1 million remains available for share repurchases.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2018, we had $250.0 million principal amount of our 1.25% convertible senior notes outstanding, $138.5 million outstanding under our senior secured credit facility, and $4.7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1.25% Convertible Senior Notes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has a $500 million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 (ii) a minimum Consolidated Interest Coverage Ratio (defined as the ratio of consolidated EBITDA to interest) of 3.50 to</w:t>
      </w:r>
    </w:p>
    <w:p>
      <w:pPr>
        <w:sectPr>
          <w:pgSz w:w="11900" w:h="16838" w:orient="portrait"/>
          <w:cols w:equalWidth="0" w:num="1">
            <w:col w:w="11360"/>
          </w:cols>
          <w:pgMar w:left="240" w:top="125" w:right="299" w:bottom="1440" w:gutter="0" w:footer="0" w:header="0"/>
        </w:sectPr>
      </w:pP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125" w:right="2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March 31, 2018, we were in compliance with these financial covenants with a Consolidated Leverage Ratio of 3.77 to 1.00 and a Consolidated Interest Coverage Ratio of 10.00 to 1.00.</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$75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Borrowings outstanding under the Amended Credit Agreement at March 31, 2018 totaled $138.5 million. These borrowings carried a weighted average interest rate of 4.3%, including the impact of the interest rate swap in effect as of March 31, 2018 and described in Note 10 “Derivative Instrument and Hedging Activity” within the notes to the consolidated financial statements. Borrowings outstanding under the Amended Credit Agreement at December 31, 2017 were $105.0 million and carried a weighted average interest rate of 3.7%, including the impact of the interest rate swap in effect as of December 31, 2017. The borrowing capacity under the revolving credit facility is reduced by any outstanding borrowings under the revolving credit facility and outstanding letters of credit. At March 31, 2018, we had outstanding letters of credit totaling $1.9 million, which are primarily used as security deposits for our office facilities. As of March 31, 2018, the unused borrowing capacity under the revolving credit facility was $359.6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March 31, 2018, the outstanding principal amount of the promissory note was $4.7 million. As of March 31, 2018, the aircraft had a carrying amount of $6.3 million. At December 31, 2017, the outstanding principal amount of the promissory note was $4.9 million, and the aircraft had a carrying amount of $6.5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2017.</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23, 2018, we entered into a third amendment (the "Third Amendment") to the Second Amended and Restated Credit Agreement dated as of March 31, 2015, as amended to date (as amended and modified the "Amended Credit Facility"). The Third Amendment extended the maturity date from March 31, 2020 to March 23, 2023. In addition, the Third Amendment provided for, among other things, i) an increase in the allowable aggregate amount of increases to the Aggregate Revolving Commitments or new or additional term loans from $100 million to $150 million; ii) an increase in the base amount of allowable Restricted Payments when the Consolidated Leverage Ratio is greater than 3.00 to 1.0 from $50 million to $75 million; iii) an increase in the maximum Consolidated Leverage Ratio allowed; and iv) certain changes to the definition of Consolidated EBITDA. Borrowings outstanding under the Amended Credit Agreement at March 31, 2018 totaled $138.5 million.</w:t>
      </w:r>
    </w:p>
    <w:p>
      <w:pPr>
        <w:spacing w:after="0" w:line="13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capitalized terms above are defined in the Credit Agreement or Third Amendment, as applicable. Refer to “Liquidity and Capital Resources” and Note 8 “Financing Arrangements” within the notes to the consolidated financial statements for more information on our outstanding borrowings.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contractual obligations since December 31, 2017.</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2017. Below is an update to our critical accounting policy related to revenue recognition. There have been no material changes to our other critical accounting policies during the first three months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4"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goods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ectPr>
          <w:pgSz w:w="11900" w:h="16838" w:orient="portrait"/>
          <w:cols w:equalWidth="0" w:num="1">
            <w:col w:w="11400"/>
          </w:cols>
          <w:pgMar w:left="240" w:top="125" w:right="25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25"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Interest Rate Risk</w:t>
      </w:r>
    </w:p>
    <w:p>
      <w:pPr>
        <w:spacing w:after="0" w:line="17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$235.5 million as of March 31, 2018, which represents the liability component of the $250.0 million principal balance. The estimated fair value of our Convertible Notes at March 31, 2018 was $236.3 million, and was determined based on the quoted bid price of the Convertible Notes in an over-the-counter market as of the last day of trading for the quarter ended March 31, 2018, which was $94.519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March 31, 2018, we had borrowings outstanding under the credit facility totaling $138.5 million that carried a weighted average interest rate of 4.3%, including the impact of the interest rate swap described below. A hypothetical 100 basis point</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change in this interest rate would have a $0.9 million effect on our pretax income, on an annualized basis, including the effect of the interest rate swap. At December 31, 2017, our borrowings outstanding under the credit facility totaled $105.0 million and carried a weighted average interest rate of 3.7%, including the effect of the interest rate swap described below. A hypothetical 100 basis point change in the interest rate as of December 31, 2017 would have had a $0.6 million effect on our pretax income, on an annualized basis, including the effect of the interest rate swap.</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also have exposure to changes in interest rates associated with the promissory note assumed on June 30, 2017 in connection with our purchase of an aircraft, which has variable interest rates tied to LIBOR. At March 31, 2018, the outstanding principal amount of the promissory note was $4.7 million and carried an interest rate of 3.6%. A hypothetical 100 basis point change in this interest rate would not have a material effect on our pretax income, on an annualized basis. At December 31, 2017, the outstanding principal amount of the promissory note was $4.9 million and carried an interest rate of 3.2%. A hypothetical 100 basis point change in the interest rate as of December 31, 2017 would not have a material effect on our pretax income, on an annualized basis.</w:t>
      </w:r>
    </w:p>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March 31, 2018, the fair value of the investment was $42.8 million, with a total cost basis of $27.9 million.</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2018. Based on this evaluation, our Chief Executive Officer and Chief Financial Officer have concluded that, as of March 31, 2018,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2018 that has materially affected, or is reasonably likely to materially affect, our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Quarterly Report on Form 10-Q.</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9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2017, which was filed with the Securities and Exchange Commission on February 28, 2018, for a complete description of the material risks we face.</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March 31, 2018, we reacquired 75,832 shares of common stock with a weighted average fair market value of $35.39 as a result of such tax withholdings.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2014, our board of directors authorized a share repurchase program pursuant to which we may, from time to time, repurchase up to $125 million of our common stock and which expires on October 31, 2018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The following table provides information with respect to purchases we made of our common stock during the quarter ended March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xml:space="preserve">Shares Purchased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1"/>
                <w:szCs w:val="21"/>
                <w:b w:val="1"/>
                <w:bCs w:val="1"/>
                <w:color w:val="auto"/>
                <w:w w:val="87"/>
                <w:vertAlign w:val="superscript"/>
              </w:rPr>
              <w:t>(2)</w:t>
            </w: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2018 - January 31,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February 1, 2018 - February 28, 2018</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2018 - March 31,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75,832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40" w:lineRule="exact"/>
        <w:rPr>
          <w:sz w:val="20"/>
          <w:szCs w:val="20"/>
          <w:color w:val="auto"/>
        </w:rPr>
      </w:pPr>
    </w:p>
    <w:p>
      <w:pPr>
        <w:ind w:left="980" w:right="440" w:hanging="972"/>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11"/>
            <w:vMerge w:val="restart"/>
          </w:tcPr>
          <w:p>
            <w:pPr>
              <w:ind w:left="5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1"/>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9"/>
        </w:trPr>
        <w:tc>
          <w:tcPr>
            <w:tcW w:w="66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4"/>
          </w:tcPr>
          <w:p>
            <w:pPr>
              <w:spacing w:after="0"/>
              <w:rPr>
                <w:rFonts w:ascii="Arial" w:cs="Arial" w:eastAsia="Arial" w:hAnsi="Arial"/>
                <w:sz w:val="16"/>
                <w:szCs w:val="16"/>
                <w:color w:val="0000FF"/>
                <w:w w:val="96"/>
              </w:rPr>
            </w:pPr>
            <w:hyperlink r:id="rId34">
              <w:r>
                <w:rPr>
                  <w:rFonts w:ascii="Arial" w:cs="Arial" w:eastAsia="Arial" w:hAnsi="Arial"/>
                  <w:sz w:val="16"/>
                  <w:szCs w:val="16"/>
                  <w:color w:val="0000FF"/>
                  <w:w w:val="96"/>
                </w:rPr>
                <w:t>Amendment No. 3 of the Credit Agreement, dated as of March 23, 2018,</w:t>
              </w:r>
            </w:hyperlink>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23"/>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3/29/2018</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5"/>
          </w:tcPr>
          <w:p>
            <w:pPr>
              <w:spacing w:after="0" w:line="183" w:lineRule="exact"/>
              <w:rPr>
                <w:rFonts w:ascii="Arial" w:cs="Arial" w:eastAsia="Arial" w:hAnsi="Arial"/>
                <w:sz w:val="16"/>
                <w:szCs w:val="16"/>
                <w:color w:val="0000FF"/>
                <w:w w:val="92"/>
              </w:rPr>
            </w:pPr>
            <w:hyperlink r:id="rId34">
              <w:r>
                <w:rPr>
                  <w:rFonts w:ascii="Arial" w:cs="Arial" w:eastAsia="Arial" w:hAnsi="Arial"/>
                  <w:sz w:val="16"/>
                  <w:szCs w:val="16"/>
                  <w:color w:val="0000FF"/>
                  <w:w w:val="92"/>
                </w:rPr>
                <w:t>by and among Huron Consulting Group Inc., as Borrower, certain</w:t>
              </w:r>
            </w:hyperlink>
          </w:p>
        </w:tc>
        <w:tc>
          <w:tcPr>
            <w:tcW w:w="440" w:type="dxa"/>
            <w:vAlign w:val="bottom"/>
            <w:tcBorders>
              <w:top w:val="single" w:sz="8" w:color="0000FF"/>
            </w:tcBorders>
            <w:gridSpan w:val="4"/>
          </w:tcPr>
          <w:p>
            <w:pPr>
              <w:spacing w:after="0"/>
              <w:rPr>
                <w:sz w:val="15"/>
                <w:szCs w:val="15"/>
                <w:color w:val="auto"/>
              </w:rPr>
            </w:pPr>
          </w:p>
        </w:tc>
        <w:tc>
          <w:tcPr>
            <w:tcW w:w="26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bottom w:val="single" w:sz="8" w:color="0000FF"/>
            </w:tcBorders>
            <w:gridSpan w:val="12"/>
          </w:tcPr>
          <w:p>
            <w:pPr>
              <w:spacing w:after="0" w:line="183" w:lineRule="exact"/>
              <w:rPr>
                <w:rFonts w:ascii="Arial" w:cs="Arial" w:eastAsia="Arial" w:hAnsi="Arial"/>
                <w:sz w:val="16"/>
                <w:szCs w:val="16"/>
                <w:color w:val="0000FF"/>
                <w:w w:val="92"/>
              </w:rPr>
            </w:pPr>
            <w:hyperlink r:id="rId34">
              <w:r>
                <w:rPr>
                  <w:rFonts w:ascii="Arial" w:cs="Arial" w:eastAsia="Arial" w:hAnsi="Arial"/>
                  <w:sz w:val="16"/>
                  <w:szCs w:val="16"/>
                  <w:color w:val="0000FF"/>
                  <w:w w:val="92"/>
                </w:rPr>
                <w:t>subsidiaries, as Guarantors, and Bank of America, N.A., as Administrative</w:t>
              </w:r>
            </w:hyperlink>
          </w:p>
        </w:tc>
        <w:tc>
          <w:tcPr>
            <w:tcW w:w="12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r:id="rId34">
              <w:r>
                <w:rPr>
                  <w:rFonts w:ascii="Arial" w:cs="Arial" w:eastAsia="Arial" w:hAnsi="Arial"/>
                  <w:sz w:val="16"/>
                  <w:szCs w:val="16"/>
                  <w:color w:val="0000FF"/>
                  <w:w w:val="92"/>
                </w:rPr>
                <w:t>Agent for and on behalf of the Lenders.</w:t>
              </w:r>
            </w:hyperlink>
          </w:p>
        </w:tc>
        <w:tc>
          <w:tcPr>
            <w:tcW w:w="2400" w:type="dxa"/>
            <w:vAlign w:val="bottom"/>
            <w:gridSpan w:val="11"/>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0000FF"/>
              </w:rPr>
              <w:t>Certification of the Chief Executive Officer, pursuant to Rule 13a-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4"/>
          </w:tcPr>
          <w:p>
            <w:pPr>
              <w:spacing w:after="0" w:line="183" w:lineRule="exact"/>
              <w:rPr>
                <w:sz w:val="20"/>
                <w:szCs w:val="20"/>
                <w:color w:val="auto"/>
              </w:rPr>
            </w:pPr>
            <w:r>
              <w:rPr>
                <w:rFonts w:ascii="Arial" w:cs="Arial" w:eastAsia="Arial" w:hAnsi="Arial"/>
                <w:sz w:val="16"/>
                <w:szCs w:val="16"/>
                <w:color w:val="0000FF"/>
              </w:rPr>
              <w:t>14(a)/15d-14(a), as adopted pursuant to Section 302 of the Sarbanes-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4"/>
              </w:rPr>
              <w:t>Oxley Act of 2002.</w:t>
            </w:r>
          </w:p>
        </w:tc>
        <w:tc>
          <w:tcPr>
            <w:tcW w:w="3200" w:type="dxa"/>
            <w:vAlign w:val="bottom"/>
            <w:tcBorders>
              <w:top w:val="single" w:sz="8" w:color="0000FF"/>
            </w:tcBorders>
            <w:gridSpan w:val="5"/>
          </w:tcPr>
          <w:p>
            <w:pPr>
              <w:spacing w:after="0"/>
              <w:rPr>
                <w:sz w:val="15"/>
                <w:szCs w:val="15"/>
                <w:color w:val="auto"/>
              </w:rPr>
            </w:pPr>
          </w:p>
        </w:tc>
        <w:tc>
          <w:tcPr>
            <w:tcW w:w="52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0000FF"/>
              </w:rPr>
              <w:t>Certification of the Chief Financial Officer, pursuant to Rule 13a-</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4"/>
          </w:tcPr>
          <w:p>
            <w:pPr>
              <w:spacing w:after="0" w:line="183" w:lineRule="exact"/>
              <w:rPr>
                <w:sz w:val="20"/>
                <w:szCs w:val="20"/>
                <w:color w:val="auto"/>
              </w:rPr>
            </w:pPr>
            <w:r>
              <w:rPr>
                <w:rFonts w:ascii="Arial" w:cs="Arial" w:eastAsia="Arial" w:hAnsi="Arial"/>
                <w:sz w:val="16"/>
                <w:szCs w:val="16"/>
                <w:color w:val="0000FF"/>
              </w:rPr>
              <w:t>14(a)/15d-14(a), as adopted pursuant to Section 302 of the Sarbanes-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4"/>
              </w:rPr>
              <w:t>Oxley Act of 2002.</w:t>
            </w:r>
          </w:p>
        </w:tc>
        <w:tc>
          <w:tcPr>
            <w:tcW w:w="3200" w:type="dxa"/>
            <w:vAlign w:val="bottom"/>
            <w:tcBorders>
              <w:top w:val="single" w:sz="8" w:color="0000FF"/>
            </w:tcBorders>
            <w:gridSpan w:val="5"/>
          </w:tcPr>
          <w:p>
            <w:pPr>
              <w:spacing w:after="0"/>
              <w:rPr>
                <w:sz w:val="15"/>
                <w:szCs w:val="15"/>
                <w:color w:val="auto"/>
              </w:rPr>
            </w:pPr>
          </w:p>
        </w:tc>
        <w:tc>
          <w:tcPr>
            <w:tcW w:w="520" w:type="dxa"/>
            <w:vAlign w:val="bottom"/>
            <w:gridSpan w:val="7"/>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3"/>
              </w:rPr>
              <w:t>Certification of the Chief Executive Officer, pursuant to 18 U.S.C. Section</w:t>
            </w:r>
          </w:p>
        </w:tc>
        <w:tc>
          <w:tcPr>
            <w:tcW w:w="14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w w:val="90"/>
              </w:rPr>
              <w:t>1350, as adopted pursuant to Section 906 of the Sarbanes-Oxley Act of</w:t>
            </w:r>
          </w:p>
        </w:tc>
        <w:tc>
          <w:tcPr>
            <w:tcW w:w="36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w w:val="84"/>
              </w:rPr>
              <w:t>2002.</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3"/>
              </w:rPr>
              <w:t>Certification of the Chief Financial Officer, pursuant to 18 U.S.C. Section</w:t>
            </w:r>
          </w:p>
        </w:tc>
        <w:tc>
          <w:tcPr>
            <w:tcW w:w="180" w:type="dxa"/>
            <w:vAlign w:val="bottom"/>
            <w:gridSpan w:val="4"/>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w w:val="90"/>
              </w:rPr>
              <w:t>1350, as adopted pursuant to Section 906 of the Sarbanes-Oxley Act of</w:t>
            </w:r>
          </w:p>
        </w:tc>
        <w:tc>
          <w:tcPr>
            <w:tcW w:w="36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w w:val="84"/>
              </w:rPr>
              <w:t>2002.</w:t>
            </w: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980" w:type="dxa"/>
            <w:vAlign w:val="bottom"/>
            <w:gridSpan w:val="14"/>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320" w:val="left"/>
          <w:tab w:leader="none" w:pos="80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125"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70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70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March 31, 2018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70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March 31, 2018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70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34" Type="http://schemas.openxmlformats.org/officeDocument/2006/relationships/hyperlink" Target="http://www.sec.gov/Archives/edgar/data/1289848/000128984818000015/exh101huronamendmentno3-c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2019-12-06T23:41:24Z</dcterms:created>
  <dcterms:modified xsi:type="dcterms:W3CDTF">2019-12-06T23:41:24Z</dcterms:modified>
</cp:coreProperties>
</file>