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w:t>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 xml:space="preserve">FORM 8-K </w:t>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CURRENT REPORT</w:t>
      </w:r>
    </w:p>
    <w:p>
      <w:pPr>
        <w:pStyle w:val="TextBody"/>
        <w:bidi w:val="0"/>
        <w:spacing w:lineRule="auto" w:line="288" w:before="60" w:after="283"/>
        <w:ind w:left="0" w:right="0" w:hanging="540"/>
        <w:jc w:val="center"/>
        <w:rPr>
          <w:rFonts w:ascii="Arial Narrow;sans-serif" w:hAnsi="Arial Narrow;sans-serif"/>
          <w:b/>
          <w:color w:val="000000"/>
          <w:sz w:val="24"/>
        </w:rPr>
      </w:pPr>
      <w:r>
        <w:rPr>
          <w:rFonts w:ascii="Arial Narrow;sans-serif" w:hAnsi="Arial Narrow;sans-serif"/>
          <w:b/>
          <w:color w:val="000000"/>
          <w:sz w:val="24"/>
        </w:rPr>
        <w:t>PURSUANT TO SECTION 13 OR 15(d) OF THE SECURITIES EXCHANGE ACT OF 1934</w:t>
      </w:r>
    </w:p>
    <w:p>
      <w:pPr>
        <w:pStyle w:val="TextBody"/>
        <w:bidi w:val="0"/>
        <w:spacing w:lineRule="auto" w:line="288" w:before="120" w:after="283"/>
        <w:jc w:val="center"/>
        <w:rPr>
          <w:rFonts w:ascii="Arial Narrow;sans-serif" w:hAnsi="Arial Narrow;sans-serif"/>
          <w:b/>
          <w:color w:val="000000"/>
          <w:sz w:val="24"/>
        </w:rPr>
      </w:pPr>
      <w:r>
        <w:rPr>
          <w:rFonts w:ascii="Arial Narrow;sans-serif" w:hAnsi="Arial Narrow;sans-serif"/>
          <w:b/>
          <w:color w:val="000000"/>
          <w:sz w:val="24"/>
        </w:rPr>
        <w:t xml:space="preserve">July 28, 2026 </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w:t>
      </w:r>
    </w:p>
    <w:p>
      <w:pPr>
        <w:pStyle w:val="TextBody"/>
        <w:bidi w:val="0"/>
        <w:spacing w:lineRule="auto" w:line="288" w:before="60" w:after="283"/>
        <w:jc w:val="center"/>
        <w:rPr>
          <w:rFonts w:ascii="Arial Narrow;sans-serif" w:hAnsi="Arial Narrow;sans-serif"/>
          <w:b/>
          <w:color w:val="000000"/>
          <w:sz w:val="32"/>
        </w:rPr>
      </w:pPr>
      <w:r>
        <w:rPr>
          <w:rFonts w:ascii="Arial Narrow;sans-serif" w:hAnsi="Arial Narrow;sans-serif"/>
          <w:b/>
          <w:color w:val="000000"/>
          <w:sz w:val="32"/>
        </w:rPr>
        <w:t xml:space="preserve">Huron Consulting Group Inc.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(Exact name of registrant as specified in its charter)</w:t>
      </w:r>
    </w:p>
    <w:tbl>
      <w:tblPr>
        <w:tblW w:w="4723" w:type="dxa"/>
        <w:jc w:val="center"/>
        <w:tblInd w:w="0" w:type="dxa"/>
        <w:tblLayout w:type="fixed"/>
        <w:tblCellMar>
          <w:top w:w="28" w:type="dxa"/>
          <w:left w:w="28" w:type="dxa"/>
          <w:bottom w:w="28" w:type="dxa"/>
          <w:right w:w="28" w:type="dxa"/>
        </w:tblCellMar>
      </w:tblPr>
      <w:tblGrid>
        <w:gridCol w:w="706"/>
        <w:gridCol w:w="621"/>
        <w:gridCol w:w="623"/>
        <w:gridCol w:w="348"/>
        <w:gridCol w:w="348"/>
        <w:gridCol w:w="353"/>
        <w:gridCol w:w="503"/>
        <w:gridCol w:w="503"/>
        <w:gridCol w:w="718"/>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4"/>
              </w:rPr>
            </w:pPr>
            <w:r>
              <w:rPr>
                <w:rFonts w:ascii="Arial Narrow;sans-serif" w:hAnsi="Arial Narrow;sans-serif"/>
                <w:b/>
                <w:color w:val="000000"/>
                <w:sz w:val="24"/>
              </w:rPr>
              <w:t>Delaware</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4"/>
              </w:rPr>
            </w:pPr>
            <w:r>
              <w:rPr>
                <w:rFonts w:ascii="Arial Narrow;sans-serif" w:hAnsi="Arial Narrow;sans-serif"/>
                <w:b/>
                <w:color w:val="000000"/>
                <w:sz w:val="24"/>
              </w:rPr>
              <w:t>000-50976</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4"/>
              </w:rPr>
            </w:pPr>
            <w:r>
              <w:rPr>
                <w:rFonts w:ascii="Arial Narrow;sans-serif" w:hAnsi="Arial Narrow;sans-serif"/>
                <w:b/>
                <w:color w:val="000000"/>
                <w:sz w:val="24"/>
              </w:rPr>
              <w:t>01-0666114</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(State or other jurisdiction</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(Commission</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(IRS Employer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of incorporation)</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File Number)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Identification Number)</w:t>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 xml:space="preserve">550 West Van Buren Street </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 xml:space="preserve">Chicago, Illinois </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 xml:space="preserve">60607 </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(Address of principal executive offices)</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(Zip Code)</w:t>
      </w:r>
    </w:p>
    <w:p>
      <w:pPr>
        <w:pStyle w:val="TextBody"/>
        <w:bidi w:val="0"/>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 xml:space="preserve">(312) 583-8700 </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w:t>
      </w:r>
    </w:p>
    <w:p>
      <w:pPr>
        <w:pStyle w:val="TextBody"/>
        <w:bidi w:val="0"/>
        <w:spacing w:before="0" w:after="0"/>
        <w:jc w:val="center"/>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Check the appropriate box below if the Form 8-K filing is intended to simultaneously satisfy the filing obligation of the registrant under any of the following provisions:</w:t>
      </w:r>
    </w:p>
    <w:tbl>
      <w:tblPr>
        <w:tblW w:w="7839" w:type="dxa"/>
        <w:jc w:val="center"/>
        <w:tblInd w:w="0" w:type="dxa"/>
        <w:tblLayout w:type="fixed"/>
        <w:tblCellMar>
          <w:top w:w="28" w:type="dxa"/>
          <w:left w:w="28" w:type="dxa"/>
          <w:bottom w:w="28" w:type="dxa"/>
          <w:right w:w="28" w:type="dxa"/>
        </w:tblCellMar>
      </w:tblPr>
      <w:tblGrid>
        <w:gridCol w:w="124"/>
        <w:gridCol w:w="109"/>
        <w:gridCol w:w="109"/>
        <w:gridCol w:w="2372"/>
        <w:gridCol w:w="2372"/>
        <w:gridCol w:w="2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Pre-commencement communications pursuant to Rule 14d-2(b) under the Exchange Act (17 CFR </w:t>
            </w:r>
          </w:p>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Pre-commencement communications pursuant to Rule 13e-4(c) under the Exchange Act (17 CFR </w:t>
            </w:r>
          </w:p>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Securities registered pursuant to Section 12(b) of the Act:</w:t>
      </w:r>
    </w:p>
    <w:tbl>
      <w:tblPr>
        <w:tblW w:w="8128" w:type="dxa"/>
        <w:jc w:val="center"/>
        <w:tblInd w:w="0" w:type="dxa"/>
        <w:tblLayout w:type="fixed"/>
        <w:tblCellMar>
          <w:top w:w="28" w:type="dxa"/>
          <w:left w:w="28" w:type="dxa"/>
          <w:bottom w:w="28" w:type="dxa"/>
          <w:right w:w="28" w:type="dxa"/>
        </w:tblCellMar>
      </w:tblPr>
      <w:tblGrid>
        <w:gridCol w:w="1138"/>
        <w:gridCol w:w="999"/>
        <w:gridCol w:w="1012"/>
        <w:gridCol w:w="449"/>
        <w:gridCol w:w="449"/>
        <w:gridCol w:w="451"/>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Title of each class</w:t>
            </w:r>
          </w:p>
        </w:tc>
        <w:tc>
          <w:tcPr>
            <w:tcW w:w="13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Trading Symbol</w:t>
            </w:r>
          </w:p>
        </w:tc>
        <w:tc>
          <w:tcPr>
            <w:tcW w:w="36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 of each exchange on which registered</w:t>
            </w:r>
          </w:p>
        </w:tc>
      </w:tr>
      <w:tr>
        <w:trPr/>
        <w:tc>
          <w:tcPr>
            <w:tcW w:w="31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Common Stock, par value $0.01 per share</w:t>
            </w:r>
          </w:p>
        </w:tc>
        <w:tc>
          <w:tcPr>
            <w:tcW w:w="13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HURN</w:t>
            </w:r>
          </w:p>
        </w:tc>
        <w:tc>
          <w:tcPr>
            <w:tcW w:w="36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Nasdaq Global Select Market</w:t>
            </w:r>
          </w:p>
        </w:tc>
      </w:tr>
    </w:tbl>
    <w:tbl>
      <w:tblPr>
        <w:tblW w:w="10205" w:type="dxa"/>
        <w:jc w:val="center"/>
        <w:tblInd w:w="0" w:type="dxa"/>
        <w:tblLayout w:type="fixed"/>
        <w:tblCellMar>
          <w:top w:w="28" w:type="dxa"/>
          <w:left w:w="28" w:type="dxa"/>
          <w:bottom w:w="28" w:type="dxa"/>
          <w:right w:w="28" w:type="dxa"/>
        </w:tblCellMar>
      </w:tblPr>
      <w:tblGrid>
        <w:gridCol w:w="2631"/>
        <w:gridCol w:w="2067"/>
        <w:gridCol w:w="2067"/>
        <w:gridCol w:w="997"/>
        <w:gridCol w:w="997"/>
        <w:gridCol w:w="1446"/>
      </w:tblGrid>
      <w:tr>
        <w:trPr/>
        <w:tc>
          <w:tcPr>
            <w:tcW w:w="2631"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Emerging growth company</w:t>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hanging="3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2"/>
        </w:rPr>
        <w:t>Item 2.02.</w:t>
      </w:r>
      <w:r>
        <w:rPr>
          <w:color w:val="000000"/>
        </w:rPr>
        <w:t>    </w:t>
      </w:r>
      <w:r>
        <w:rPr>
          <w:rFonts w:ascii="Arial Narrow;sans-serif" w:hAnsi="Arial Narrow;sans-serif"/>
          <w:b/>
          <w:color w:val="000000"/>
          <w:sz w:val="22"/>
        </w:rPr>
        <w:t>Results of Operations and Financial Condition.</w:t>
      </w:r>
    </w:p>
    <w:p>
      <w:pPr>
        <w:pStyle w:val="TextBody"/>
        <w:bidi w:val="0"/>
        <w:spacing w:lineRule="auto" w:line="288" w:before="180" w:after="283"/>
        <w:jc w:val="left"/>
        <w:rPr>
          <w:rFonts w:ascii="Arial Narrow;sans-serif" w:hAnsi="Arial Narrow;sans-serif"/>
          <w:b w:val="false"/>
          <w:color w:val="000000"/>
          <w:sz w:val="22"/>
        </w:rPr>
      </w:pPr>
      <w:r>
        <w:rPr>
          <w:rFonts w:ascii="Arial Narrow;sans-serif" w:hAnsi="Arial Narrow;sans-serif"/>
          <w:b w:val="false"/>
          <w:color w:val="000000"/>
          <w:sz w:val="22"/>
        </w:rPr>
        <w:t>On July 28, 2026, Huron Consulting Group Inc. (the "Company") issued a press release announcing its financial results for the three and six months ended June 30, 2026. A copy of the press release is furnished as Exhibit 99.1 to this Current Report on Form 8-K.</w:t>
      </w:r>
    </w:p>
    <w:p>
      <w:pPr>
        <w:pStyle w:val="TextBody"/>
        <w:bidi w:val="0"/>
        <w:spacing w:lineRule="auto" w:line="288" w:before="180" w:after="283"/>
        <w:jc w:val="left"/>
        <w:rPr>
          <w:rFonts w:ascii="Arial Narrow;sans-serif" w:hAnsi="Arial Narrow;sans-serif"/>
          <w:b w:val="false"/>
          <w:color w:val="000000"/>
          <w:sz w:val="22"/>
        </w:rPr>
      </w:pPr>
      <w:r>
        <w:rPr>
          <w:rFonts w:ascii="Arial Narrow;sans-serif" w:hAnsi="Arial Narrow;sans-serif"/>
          <w:b w:val="false"/>
          <w:color w:val="000000"/>
          <w:sz w:val="22"/>
        </w:rPr>
        <w:t>The information furnished pursuant to Item 2.02 and the attached Exhibit 99.1 shall not be deemed filed for purposes of Section 18 of the Securities Exchange Act of 1934 or otherwise subject to the liabilities of that section, nor shall it be deemed incorporated by reference in any filing under the Securities Act of 1933, except as shall be expressly set forth by specific reference in such filing.</w:t>
      </w:r>
    </w:p>
    <w:p>
      <w:pPr>
        <w:pStyle w:val="TextBody"/>
        <w:bidi w:val="0"/>
        <w:spacing w:lineRule="auto" w:line="288" w:before="180" w:after="283"/>
        <w:jc w:val="left"/>
        <w:rPr/>
      </w:pPr>
      <w:r>
        <w:rPr>
          <w:rFonts w:ascii="Arial Narrow;sans-serif" w:hAnsi="Arial Narrow;sans-serif"/>
          <w:b/>
          <w:color w:val="000000"/>
          <w:sz w:val="22"/>
        </w:rPr>
        <w:t>Item 9.01.</w:t>
      </w:r>
      <w:r>
        <w:rPr>
          <w:color w:val="000000"/>
        </w:rPr>
        <w:t>    </w:t>
      </w:r>
      <w:r>
        <w:rPr>
          <w:rFonts w:ascii="Arial Narrow;sans-serif" w:hAnsi="Arial Narrow;sans-serif"/>
          <w:b/>
          <w:color w:val="000000"/>
          <w:sz w:val="22"/>
        </w:rPr>
        <w:t>Financial Statements and Exhibits.</w:t>
      </w:r>
    </w:p>
    <w:p>
      <w:pPr>
        <w:pStyle w:val="TextBody"/>
        <w:bidi w:val="0"/>
        <w:spacing w:before="0" w:after="0"/>
        <w:jc w:val="left"/>
        <w:rPr/>
      </w:pPr>
      <w:r>
        <w:rPr/>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(d)     Exhibits</w:t>
      </w:r>
    </w:p>
    <w:tbl>
      <w:tblPr>
        <w:tblW w:w="10205" w:type="dxa"/>
        <w:jc w:val="center"/>
        <w:tblInd w:w="0" w:type="dxa"/>
        <w:tblLayout w:type="fixed"/>
        <w:tblCellMar>
          <w:top w:w="28" w:type="dxa"/>
          <w:left w:w="28" w:type="dxa"/>
          <w:bottom w:w="28" w:type="dxa"/>
          <w:right w:w="28" w:type="dxa"/>
        </w:tblCellMar>
      </w:tblPr>
      <w:tblGrid>
        <w:gridCol w:w="310"/>
        <w:gridCol w:w="273"/>
        <w:gridCol w:w="274"/>
        <w:gridCol w:w="109"/>
        <w:gridCol w:w="109"/>
        <w:gridCol w:w="109"/>
        <w:gridCol w:w="2640"/>
        <w:gridCol w:w="2640"/>
        <w:gridCol w:w="3741"/>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4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2"/>
              </w:rPr>
            </w:pPr>
            <w:r>
              <w:rPr>
                <w:rFonts w:ascii="Arial Narrow;sans-serif" w:hAnsi="Arial Narrow;sans-serif"/>
                <w:b/>
                <w:color w:val="000000"/>
                <w:sz w:val="22"/>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2"/>
              </w:rPr>
            </w:pPr>
            <w:r>
              <w:rPr>
                <w:rFonts w:ascii="Arial Narrow;sans-serif" w:hAnsi="Arial Narrow;sans-serif"/>
                <w:b/>
                <w:color w:val="000000"/>
                <w:sz w:val="22"/>
              </w:rPr>
              <w:t>Exhibit Description</w:t>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1"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hurn2026630exh991.htm">
              <w:r>
                <w:rPr>
                  <w:rStyle w:val="InternetLink"/>
                  <w:rFonts w:ascii="Arial Narrow;sans-serif" w:hAnsi="Arial Narrow;sans-serif"/>
                  <w:b w:val="false"/>
                  <w:color w:val="0000FF"/>
                  <w:sz w:val="22"/>
                  <w:u w:val="single"/>
                </w:rPr>
                <w:t>Press release, dated July 28, 2026</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Inline XBRL Instance Document - the instance document does not appear in the Interactive Data File because its XBRL tags are embedded within the Inline XBRL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Inline XBRL Taxonomy Extension Schema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Inline XBRL Taxonomy Extension Calculation Linkbase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Inline XBRL Taxonomy Extension Label Linkbase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Inline XBRL Taxonomy Extension Presentation Linkbase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Inline XBRL Taxonomy Extension Definition Linkbase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Cover Page Interactive Data File (formatted as inline XBRL and contained in Exhibit 101)</w:t>
            </w:r>
          </w:p>
        </w:tc>
      </w:tr>
    </w:tbl>
    <w:p>
      <w:pPr>
        <w:pStyle w:val="TextBody"/>
        <w:bidi w:val="0"/>
        <w:spacing w:before="1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SIGNATURE</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Arial Narrow;sans-serif" w:hAnsi="Arial Narrow;sans-serif"/>
          <w:b w:val="false"/>
          <w:color w:val="000000"/>
          <w:sz w:val="22"/>
        </w:rPr>
        <w:t>Pursuant to the requirements of the Securities Exchange Act of 1934, the registrant has duly caused this report to be signed on its behalf by the undersigned hereunto duly authorized.</w:t>
      </w:r>
    </w:p>
    <w:tbl>
      <w:tblPr>
        <w:tblW w:w="7392" w:type="dxa"/>
        <w:jc w:val="center"/>
        <w:tblInd w:w="0" w:type="dxa"/>
        <w:tblLayout w:type="fixed"/>
        <w:tblCellMar>
          <w:top w:w="28" w:type="dxa"/>
          <w:left w:w="28" w:type="dxa"/>
          <w:bottom w:w="28" w:type="dxa"/>
          <w:right w:w="28" w:type="dxa"/>
        </w:tblCellMar>
      </w:tblPr>
      <w:tblGrid>
        <w:gridCol w:w="201"/>
        <w:gridCol w:w="176"/>
        <w:gridCol w:w="178"/>
        <w:gridCol w:w="399"/>
        <w:gridCol w:w="399"/>
        <w:gridCol w:w="402"/>
        <w:gridCol w:w="109"/>
        <w:gridCol w:w="109"/>
        <w:gridCol w:w="109"/>
        <w:gridCol w:w="1553"/>
        <w:gridCol w:w="1553"/>
        <w:gridCol w:w="220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Huron Consulting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Date:</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John D.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Executive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99.1</w:t>
      </w:r>
    </w:p>
    <w:p>
      <w:pPr>
        <w:pStyle w:val="TextBody"/>
        <w:bidi w:val="0"/>
        <w:spacing w:before="180" w:after="283"/>
        <w:jc w:val="right"/>
        <w:rPr/>
      </w:pPr>
      <w:r>
        <w:rPr/>
      </w:r>
    </w:p>
    <w:p>
      <w:pPr>
        <w:pStyle w:val="TextBody"/>
        <w:bidi w:val="0"/>
        <w:spacing w:before="180" w:after="283"/>
        <w:jc w:val="right"/>
        <w:rPr/>
      </w:pPr>
      <w:r>
        <w:rPr/>
        <w:drawing>
          <wp:inline distT="0" distB="0" distL="0" distR="0">
            <wp:extent cx="1638300" cy="285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285750"/>
                    </a:xfrm>
                    <a:prstGeom prst="rect">
                      <a:avLst/>
                    </a:prstGeom>
                  </pic:spPr>
                </pic:pic>
              </a:graphicData>
            </a:graphic>
          </wp:inline>
        </w:drawing>
      </w:r>
    </w:p>
    <w:tbl>
      <w:tblPr>
        <w:tblW w:w="6311" w:type="dxa"/>
        <w:jc w:val="right"/>
        <w:tblInd w:w="0" w:type="dxa"/>
        <w:tblLayout w:type="fixed"/>
        <w:tblCellMar>
          <w:top w:w="28" w:type="dxa"/>
          <w:left w:w="28" w:type="dxa"/>
          <w:bottom w:w="28" w:type="dxa"/>
          <w:right w:w="28" w:type="dxa"/>
        </w:tblCellMar>
      </w:tblPr>
      <w:tblGrid>
        <w:gridCol w:w="1388"/>
        <w:gridCol w:w="1223"/>
        <w:gridCol w:w="1228"/>
        <w:gridCol w:w="109"/>
        <w:gridCol w:w="109"/>
        <w:gridCol w:w="109"/>
        <w:gridCol w:w="627"/>
        <w:gridCol w:w="627"/>
        <w:gridCol w:w="891"/>
      </w:tblGrid>
      <w:tr>
        <w:trPr/>
        <w:tc>
          <w:tcPr>
            <w:tcW w:w="138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40"/>
              </w:rPr>
            </w:pPr>
            <w:r>
              <w:rPr>
                <w:rFonts w:ascii="Arial;sans-serif" w:hAnsi="Arial;sans-serif"/>
                <w:b/>
                <w:color w:val="000000"/>
                <w:sz w:val="40"/>
              </w:rPr>
              <w:t>NEWS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MEDIA CONTACT</w:t>
            </w:r>
          </w:p>
        </w:tc>
      </w:tr>
      <w:tr>
        <w:trPr/>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Allie Bovis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8"/>
              </w:rPr>
            </w:pPr>
            <w:r>
              <w:rPr>
                <w:rFonts w:ascii="Arial;sans-serif" w:hAnsi="Arial;sans-serif"/>
                <w:b w:val="false"/>
                <w:color w:val="000000"/>
                <w:sz w:val="28"/>
              </w:rPr>
              <w:t>FOR IMMEDIATE RELEASE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abovis@hcg.com</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INVESTOR CONTACT</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D. Kelly</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investor@hcg.com</w:t>
            </w:r>
          </w:p>
        </w:tc>
      </w:tr>
    </w:tbl>
    <w:p>
      <w:pPr>
        <w:pStyle w:val="TextBody"/>
        <w:bidi w:val="0"/>
        <w:spacing w:lineRule="auto" w:line="288" w:before="80" w:after="283"/>
        <w:jc w:val="left"/>
        <w:rPr>
          <w:rFonts w:ascii="Arial;sans-serif" w:hAnsi="Arial;sans-serif"/>
          <w:b/>
          <w:color w:val="000000"/>
          <w:sz w:val="32"/>
        </w:rPr>
      </w:pPr>
      <w:r>
        <w:rPr>
          <w:rFonts w:ascii="Arial;sans-serif" w:hAnsi="Arial;sans-serif"/>
          <w:b/>
          <w:color w:val="000000"/>
          <w:sz w:val="32"/>
        </w:rPr>
        <w:t>Huron Announces Record Second Quarter 2026 Financial Results and Increases 2026 Guidance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SECOND QUARTER 2026 FINANCIAL HIGHLIGHTS</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Revenues before reimbursable expenses (RBR) increased $63.1 million, or 15.7%, to a record $465.6 million in Q2 2026 from $402.5 million in Q2 2025.</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Net income increased $11.8 million, or 60.8%, to $31.2 million in Q2 2026, compared to $19.4 million in Q2 2025. Results for Q2 2025 include an $8.2 million non-cash impairment charge, net of tax, related to the company's convertible debt investment in a third-party.</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Adjusted EBITDA</w:t>
      </w:r>
      <w:r>
        <w:rPr>
          <w:rFonts w:ascii="Arial;sans-serif" w:hAnsi="Arial;sans-serif"/>
          <w:b w:val="false"/>
          <w:color w:val="000000"/>
          <w:sz w:val="13"/>
        </w:rPr>
        <w:t>(9)</w:t>
      </w:r>
      <w:r>
        <w:rPr>
          <w:rFonts w:ascii="Arial;sans-serif" w:hAnsi="Arial;sans-serif"/>
          <w:b w:val="false"/>
          <w:color w:val="000000"/>
          <w:sz w:val="20"/>
        </w:rPr>
        <w:t xml:space="preserve">, a non-GAAP financial measure, increased $12.1 million, or 19.9%, to $72.6 million in Q2 2026 from $60.6 million in Q2 2025.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Diluted earnings per share increased $0.82, or 75.2%, to $1.91 in Q2 2026 from $1.09 in Q2 2025. Results for Q2 2025 include the non-cash impairment charge on the company's convertible debt investment in a third-party, which had an unfavorable $0.46 impact on diluted earnings per share for the prior year period.</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Adjusted diluted earnings per share</w:t>
      </w:r>
      <w:r>
        <w:rPr>
          <w:rFonts w:ascii="Arial;sans-serif" w:hAnsi="Arial;sans-serif"/>
          <w:b w:val="false"/>
          <w:color w:val="000000"/>
          <w:sz w:val="13"/>
        </w:rPr>
        <w:t>(9)</w:t>
      </w:r>
      <w:r>
        <w:rPr>
          <w:rFonts w:ascii="Arial;sans-serif" w:hAnsi="Arial;sans-serif"/>
          <w:b w:val="false"/>
          <w:color w:val="000000"/>
          <w:sz w:val="20"/>
        </w:rPr>
        <w:t>, a non-GAAP financial measure, increased $0.57, or 30.2%, to $2.46 in Q2 2026 from $1.89 in Q2 2025.</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Net cash provided by operating activities increased $40.4 million, or 50.5%, to $120.5 million in Q2 2026, compared to $80.0 million in Q2 2025.</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Huron returned $53.1 million to shareholders by repurchasing 0.4 million shares of the company's common stock in Q2 2026, representing 2.5% of the company's common stock outstanding as of December 31, 2025.</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YEAR-TO-DATE 2026 FINANCIAL HIGHLIGHTS</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Revenues before reimbursable expenses (RBR) increased $111.2 million, or 13.9%, to $909.3 million for the first six months of 2026 from $798.2 million for the same prior year period.</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Net income increased $10.5 million, or 23.9%, to $54.5 million for the first six months of 2026, compared to $44.0 million for the same prior year period. Results for the first six months of 2025 include an $8.2 million non-cash impairment charge, net of tax, related to the company's convertible debt investment in a third-party.</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Adjusted EBITDA</w:t>
      </w:r>
      <w:r>
        <w:rPr>
          <w:rFonts w:ascii="Arial;sans-serif" w:hAnsi="Arial;sans-serif"/>
          <w:b w:val="false"/>
          <w:color w:val="000000"/>
          <w:sz w:val="13"/>
        </w:rPr>
        <w:t>(9)</w:t>
      </w:r>
      <w:r>
        <w:rPr>
          <w:rFonts w:ascii="Arial;sans-serif" w:hAnsi="Arial;sans-serif"/>
          <w:b w:val="false"/>
          <w:color w:val="000000"/>
          <w:sz w:val="20"/>
        </w:rPr>
        <w:t xml:space="preserve">, a non-GAAP measure, increased $21.2 million, or 20.7%, to $123.2 million for the first six months of 2026 from $102.1 million for the same prior year period.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Diluted earnings per share increased $0.80, or 33.1%, to $3.22 for the first six months of 2026, compared to $2.42 for the same prior year period. Results for the first six months of 2025 include the non-cash impairment charge related to the company's convertible debt investment in a third-party, which had an unfavorable $0.45 impact on diluted earnings per share for the prior year period.</w:t>
      </w:r>
    </w:p>
    <w:p>
      <w:pPr>
        <w:pStyle w:val="TextBody"/>
        <w:bidi w:val="0"/>
        <w:spacing w:before="0" w:after="0"/>
        <w:jc w:val="right"/>
        <w:rPr/>
      </w:pPr>
      <w:r>
        <w:rPr/>
        <w:drawing>
          <wp:inline distT="0" distB="0" distL="0" distR="0">
            <wp:extent cx="1638300" cy="2857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38300" cy="28575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Adjusted diluted earnings per share</w:t>
      </w:r>
      <w:r>
        <w:rPr>
          <w:rFonts w:ascii="Arial;sans-serif" w:hAnsi="Arial;sans-serif"/>
          <w:b w:val="false"/>
          <w:color w:val="000000"/>
          <w:sz w:val="13"/>
        </w:rPr>
        <w:t>(9)</w:t>
      </w:r>
      <w:r>
        <w:rPr>
          <w:rFonts w:ascii="Arial;sans-serif" w:hAnsi="Arial;sans-serif"/>
          <w:b w:val="false"/>
          <w:color w:val="000000"/>
          <w:sz w:val="20"/>
        </w:rPr>
        <w:t>, a non-GAAP measure, increased $0.59, or 16.5%, to $4.16 for the first six months of 2026 from $3.57 for the same prior year period.</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Huron returned $208.6 million to shareholders by repurchasing 1.6 million shares of the company's common stock in the first six months of 2026, representing 9.0% of the company's common stock outstanding as of December 31, 2025.</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2026 GUIDANCE AND OTHER HIGHLIGHTS</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Huron increases its previous guidance for full year 2026, including RBR expectations in a range of $1.85 billion to $1.89 billion.</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Huron has been recognized as </w:t>
      </w:r>
      <w:r>
        <w:rPr>
          <w:rFonts w:ascii="Arial;sans-serif" w:hAnsi="Arial;sans-serif"/>
          <w:b w:val="false"/>
          <w:color w:val="0000FF"/>
          <w:sz w:val="20"/>
          <w:u w:val="single"/>
        </w:rPr>
        <w:t>one of India's Best Workplaces™ in Professional Services 2026</w:t>
      </w:r>
      <w:r>
        <w:rPr>
          <w:color w:val="000000"/>
        </w:rPr>
        <w:t xml:space="preserve"> </w:t>
      </w:r>
      <w:r>
        <w:rPr>
          <w:rFonts w:ascii="Arial;sans-serif" w:hAnsi="Arial;sans-serif"/>
          <w:b w:val="false"/>
          <w:color w:val="000000"/>
          <w:sz w:val="20"/>
        </w:rPr>
        <w:t>by Great Place To Work India®.</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20"/>
        </w:rPr>
        <w:t xml:space="preserve">Huron has been recognized as Strong Performer in </w:t>
      </w:r>
      <w:r>
        <w:rPr>
          <w:rFonts w:ascii="Arial;sans-serif" w:hAnsi="Arial;sans-serif"/>
          <w:b w:val="false"/>
          <w:color w:val="0000FF"/>
          <w:sz w:val="20"/>
          <w:u w:val="single"/>
        </w:rPr>
        <w:t>The Forrester Wave™: Workday Services, Q2 2026</w:t>
      </w:r>
      <w:r>
        <w:rPr>
          <w:rFonts w:ascii="Arial;sans-serif" w:hAnsi="Arial;sans-serif"/>
          <w:b w:val="false"/>
          <w:color w:val="000000"/>
          <w:sz w:val="20"/>
        </w:rPr>
        <w:t>.</w:t>
      </w:r>
    </w:p>
    <w:p>
      <w:pPr>
        <w:pStyle w:val="TextBody"/>
        <w:bidi w:val="0"/>
        <w:spacing w:lineRule="auto" w:line="288" w:before="180" w:after="283"/>
        <w:jc w:val="left"/>
        <w:rPr/>
      </w:pPr>
      <w:r>
        <w:rPr>
          <w:rFonts w:ascii="Arial;sans-serif" w:hAnsi="Arial;sans-serif"/>
          <w:b/>
          <w:color w:val="000000"/>
          <w:sz w:val="20"/>
        </w:rPr>
        <w:t>CHICAGO - Jul 28, 2026</w:t>
      </w:r>
      <w:r>
        <w:rPr>
          <w:color w:val="000000"/>
        </w:rPr>
        <w:t xml:space="preserve"> </w:t>
      </w:r>
      <w:r>
        <w:rPr>
          <w:rFonts w:ascii="Arial;sans-serif" w:hAnsi="Arial;sans-serif"/>
          <w:b w:val="false"/>
          <w:color w:val="000000"/>
          <w:sz w:val="20"/>
        </w:rPr>
        <w:t>- Global professional services firm Huron (Nasdaq: HURN) today announced financial results for the quarter ended June 30, 2026.</w:t>
      </w:r>
    </w:p>
    <w:p>
      <w:pPr>
        <w:pStyle w:val="TextBody"/>
        <w:bidi w:val="0"/>
        <w:spacing w:lineRule="auto" w:line="288" w:before="180" w:after="283"/>
        <w:jc w:val="left"/>
        <w:rPr/>
      </w:pPr>
      <w:r>
        <w:rPr>
          <w:color w:val="000000"/>
        </w:rPr>
        <w:t>“</w:t>
      </w:r>
      <w:r>
        <w:rPr>
          <w:rFonts w:ascii="Arial;sans-serif" w:hAnsi="Arial;sans-serif"/>
          <w:b w:val="false"/>
          <w:color w:val="000000"/>
          <w:sz w:val="20"/>
        </w:rPr>
        <w:t xml:space="preserve">Led by strong organic growth across all three segments, we achieved record revenues before reimbursable expenses (RBR) in the second quarter of 2026, reflecting a 16% increase compared to the second quarter of 2025, including record RBR across our Consulting and Managed Services and Digital capabilities,” said </w:t>
      </w:r>
      <w:r>
        <w:rPr>
          <w:rFonts w:ascii="Arial;sans-serif" w:hAnsi="Arial;sans-serif"/>
          <w:b w:val="false"/>
          <w:color w:val="0000FF"/>
          <w:sz w:val="20"/>
          <w:u w:val="single"/>
        </w:rPr>
        <w:t>Mark Hussey</w:t>
      </w:r>
      <w:r>
        <w:rPr>
          <w:rFonts w:ascii="Arial;sans-serif" w:hAnsi="Arial;sans-serif"/>
          <w:b w:val="false"/>
          <w:color w:val="000000"/>
          <w:sz w:val="20"/>
        </w:rPr>
        <w:t xml:space="preserve">, chief executive officer and president of </w:t>
      </w:r>
      <w:r>
        <w:rPr>
          <w:rFonts w:ascii="Arial;sans-serif" w:hAnsi="Arial;sans-serif"/>
          <w:b w:val="false"/>
          <w:color w:val="0000FF"/>
          <w:sz w:val="20"/>
          <w:u w:val="single"/>
        </w:rPr>
        <w:t>Huron</w:t>
      </w:r>
      <w:r>
        <w:rPr>
          <w:rFonts w:ascii="Arial;sans-serif" w:hAnsi="Arial;sans-serif"/>
          <w:b w:val="false"/>
          <w:color w:val="000000"/>
          <w:sz w:val="20"/>
        </w:rPr>
        <w:t xml:space="preserve">. “We are also pleased with our continued margin expansion and robust cash flow from operations delivered in the quarter.” </w:t>
      </w:r>
    </w:p>
    <w:p>
      <w:pPr>
        <w:pStyle w:val="TextBody"/>
        <w:bidi w:val="0"/>
        <w:spacing w:lineRule="auto" w:line="288" w:before="180" w:after="283"/>
        <w:jc w:val="left"/>
        <w:rPr/>
      </w:pPr>
      <w:r>
        <w:rPr>
          <w:color w:val="000000"/>
        </w:rPr>
        <w:t>“</w:t>
      </w:r>
      <w:r>
        <w:rPr>
          <w:rFonts w:ascii="Arial;sans-serif" w:hAnsi="Arial;sans-serif"/>
          <w:b w:val="false"/>
          <w:color w:val="000000"/>
          <w:sz w:val="20"/>
        </w:rPr>
        <w:t xml:space="preserve">Our strong first half performance coupled with the continued strength of our backlog and pipeline underly the increase in our full-year RBR and earnings guidance, building upon our track record of growth and margin expansion since 2021. We believe our deep industry expertise and proprietary data and insights embedded into and in combination with our AI capabilities will continue to drive market-leading outcomes and significant value for our clients,” added </w:t>
      </w:r>
      <w:r>
        <w:rPr>
          <w:rFonts w:ascii="Arial;sans-serif" w:hAnsi="Arial;sans-serif"/>
          <w:b w:val="false"/>
          <w:color w:val="0000FF"/>
          <w:sz w:val="20"/>
          <w:u w:val="single"/>
        </w:rPr>
        <w:t>Hussey</w:t>
      </w:r>
      <w:r>
        <w:rPr>
          <w:rFonts w:ascii="Arial;sans-serif" w:hAnsi="Arial;sans-serif"/>
          <w:b w:val="false"/>
          <w:color w:val="000000"/>
          <w:sz w:val="20"/>
        </w:rPr>
        <w:t>.</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SECOND QUARTER 2026 RESULTS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Revenues before reimbursable expenses (RBR) increased $63.1 million, or 15.7%, to $465.6 million for the second quarter of 2026, compared to $402.5 million for the second quarter of 2025. This growth reflects strength in demand across all three of the company's operating segments and across both the company's Consulting and Managed Services and Digital capabilities. The overall increase includes $19.5 million of incremental RBR from the company's acquisitions completed since March 31, 2025. Excluding the $19.5 million of incremental RBR from the company's acquisitions, RBR grew 10.8% organically.</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Net income increased $11.8 million, or 60.8%, to $31.2 million, or 6.6% of total revenues, for the second quarter of 2026, compared to $19.4 million, or 4.7% of total revenues, for the same quarter last year. Results for Q2 2025 include an $8.2 million non-cash impairment charge, net of tax, related to the company's convertible debt investment in a third-party. Diluted earnings per share increased $0.82, or 75.2%, to $1.91 for the second quarter of 2026, compared to $1.09 for the second quarter of 2025. The non-cash impairment charge related to the company's convertible debt investment in a third-party had an unfavorable $0.46 impact on diluted earnings per share for the prior year period. </w:t>
      </w:r>
    </w:p>
    <w:p>
      <w:pPr>
        <w:pStyle w:val="TextBody"/>
        <w:bidi w:val="0"/>
        <w:spacing w:lineRule="auto" w:line="288" w:before="180" w:after="283"/>
        <w:jc w:val="left"/>
        <w:rPr/>
      </w:pPr>
      <w:r>
        <w:rPr>
          <w:rFonts w:ascii="Arial;sans-serif" w:hAnsi="Arial;sans-serif"/>
          <w:b w:val="false"/>
          <w:color w:val="000000"/>
          <w:sz w:val="20"/>
        </w:rPr>
        <w:t>Second quarter 2026 earnings before interest, taxes, depreciation and amortization (“EBITDA”)</w:t>
      </w:r>
      <w:r>
        <w:rPr>
          <w:rFonts w:ascii="Arial;sans-serif" w:hAnsi="Arial;sans-serif"/>
          <w:b w:val="false"/>
          <w:color w:val="000000"/>
          <w:sz w:val="13"/>
        </w:rPr>
        <w:t>(9)</w:t>
      </w:r>
      <w:r>
        <w:rPr>
          <w:color w:val="000000"/>
        </w:rPr>
        <w:t xml:space="preserve"> </w:t>
      </w:r>
      <w:r>
        <w:rPr>
          <w:rFonts w:ascii="Arial;sans-serif" w:hAnsi="Arial;sans-serif"/>
          <w:b w:val="false"/>
          <w:color w:val="000000"/>
          <w:sz w:val="20"/>
        </w:rPr>
        <w:t xml:space="preserve">increased $20.9 million, or 47.3%, to $65.3 million compared to $44.3 million in the same prior year period. </w:t>
      </w:r>
    </w:p>
    <w:p>
      <w:pPr>
        <w:pStyle w:val="TextBody"/>
        <w:bidi w:val="0"/>
        <w:spacing w:before="0" w:after="0"/>
        <w:jc w:val="right"/>
        <w:rPr/>
      </w:pPr>
      <w:r>
        <w:rPr/>
        <w:drawing>
          <wp:inline distT="0" distB="0" distL="0" distR="0">
            <wp:extent cx="1638300" cy="2857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638300" cy="28575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In addition to using EBITDA to evaluate the company’s financial performance, management uses other non-GAAP financial measures, which exclude the effect of the following items (in thousands). </w:t>
      </w:r>
    </w:p>
    <w:tbl>
      <w:tblPr>
        <w:tblW w:w="6788" w:type="dxa"/>
        <w:jc w:val="left"/>
        <w:tblInd w:w="0" w:type="dxa"/>
        <w:tblLayout w:type="fixed"/>
        <w:tblCellMar>
          <w:top w:w="28" w:type="dxa"/>
          <w:left w:w="28" w:type="dxa"/>
          <w:bottom w:w="28" w:type="dxa"/>
          <w:right w:w="28" w:type="dxa"/>
        </w:tblCellMar>
      </w:tblPr>
      <w:tblGrid>
        <w:gridCol w:w="1563"/>
        <w:gridCol w:w="1374"/>
        <w:gridCol w:w="1382"/>
        <w:gridCol w:w="211"/>
        <w:gridCol w:w="706"/>
        <w:gridCol w:w="109"/>
        <w:gridCol w:w="109"/>
        <w:gridCol w:w="109"/>
        <w:gridCol w:w="109"/>
        <w:gridCol w:w="211"/>
        <w:gridCol w:w="75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losses (gains)</w:t>
            </w:r>
            <w:r>
              <w:rPr>
                <w:rFonts w:ascii="Arial;sans-serif" w:hAnsi="Arial;sans-serif"/>
                <w:b w:val="false"/>
                <w:color w:val="000000"/>
                <w:sz w:val="13"/>
              </w:rPr>
              <w:t>(10)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 on long-term investments,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 of adjustments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transaction losses,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sans-serif" w:hAnsi="Arial;sans-serif"/>
          <w:b w:val="false"/>
          <w:color w:val="000000"/>
          <w:sz w:val="20"/>
        </w:rPr>
        <w:t>Adjusted EBITDA</w:t>
      </w:r>
      <w:r>
        <w:rPr>
          <w:rFonts w:ascii="Arial;sans-serif" w:hAnsi="Arial;sans-serif"/>
          <w:b w:val="false"/>
          <w:color w:val="000000"/>
          <w:sz w:val="13"/>
        </w:rPr>
        <w:t>(9)</w:t>
      </w:r>
      <w:r>
        <w:rPr>
          <w:color w:val="000000"/>
        </w:rPr>
        <w:t xml:space="preserve"> </w:t>
      </w:r>
      <w:r>
        <w:rPr>
          <w:rFonts w:ascii="Arial;sans-serif" w:hAnsi="Arial;sans-serif"/>
          <w:b w:val="false"/>
          <w:color w:val="000000"/>
          <w:sz w:val="20"/>
        </w:rPr>
        <w:t>increased $12.1 million, or 19.9%, to $72.6 million, or 15.6% of RBR</w:t>
      </w:r>
      <w:r>
        <w:rPr>
          <w:rFonts w:ascii="Arial;sans-serif" w:hAnsi="Arial;sans-serif"/>
          <w:b w:val="false"/>
          <w:color w:val="000000"/>
          <w:sz w:val="13"/>
        </w:rPr>
        <w:t>(9)</w:t>
      </w:r>
      <w:r>
        <w:rPr>
          <w:rFonts w:ascii="Arial;sans-serif" w:hAnsi="Arial;sans-serif"/>
          <w:b w:val="false"/>
          <w:color w:val="000000"/>
          <w:sz w:val="20"/>
        </w:rPr>
        <w:t>, in the second quarter of 2026, compared to $60.6 million, or 15.1% of RBR</w:t>
      </w:r>
      <w:r>
        <w:rPr>
          <w:rFonts w:ascii="Arial;sans-serif" w:hAnsi="Arial;sans-serif"/>
          <w:b w:val="false"/>
          <w:color w:val="000000"/>
          <w:sz w:val="13"/>
        </w:rPr>
        <w:t>(9)</w:t>
      </w:r>
      <w:r>
        <w:rPr>
          <w:rFonts w:ascii="Arial;sans-serif" w:hAnsi="Arial;sans-serif"/>
          <w:b w:val="false"/>
          <w:color w:val="000000"/>
          <w:sz w:val="20"/>
        </w:rPr>
        <w:t>, in the same quarter last year. Adjusted net income</w:t>
      </w:r>
      <w:r>
        <w:rPr>
          <w:rFonts w:ascii="Arial;sans-serif" w:hAnsi="Arial;sans-serif"/>
          <w:b w:val="false"/>
          <w:color w:val="000000"/>
          <w:sz w:val="13"/>
        </w:rPr>
        <w:t>(9)</w:t>
      </w:r>
      <w:r>
        <w:rPr>
          <w:color w:val="000000"/>
        </w:rPr>
        <w:t xml:space="preserve"> </w:t>
      </w:r>
      <w:r>
        <w:rPr>
          <w:rFonts w:ascii="Arial;sans-serif" w:hAnsi="Arial;sans-serif"/>
          <w:b w:val="false"/>
          <w:color w:val="000000"/>
          <w:sz w:val="20"/>
        </w:rPr>
        <w:t>increased $6.6 million, or 19.5%, to $40.2 million, or $2.46 per diluted share</w:t>
      </w:r>
      <w:r>
        <w:rPr>
          <w:rFonts w:ascii="Arial;sans-serif" w:hAnsi="Arial;sans-serif"/>
          <w:b w:val="false"/>
          <w:color w:val="000000"/>
          <w:sz w:val="13"/>
        </w:rPr>
        <w:t>(9)</w:t>
      </w:r>
      <w:r>
        <w:rPr>
          <w:rFonts w:ascii="Arial;sans-serif" w:hAnsi="Arial;sans-serif"/>
          <w:b w:val="false"/>
          <w:color w:val="000000"/>
          <w:sz w:val="20"/>
        </w:rPr>
        <w:t>, for the second quarter of 2026, compared to $33.7 million, or $1.89 per diluted share</w:t>
      </w:r>
      <w:r>
        <w:rPr>
          <w:rFonts w:ascii="Arial;sans-serif" w:hAnsi="Arial;sans-serif"/>
          <w:b w:val="false"/>
          <w:color w:val="000000"/>
          <w:sz w:val="13"/>
        </w:rPr>
        <w:t>(9)</w:t>
      </w:r>
      <w:r>
        <w:rPr>
          <w:rFonts w:ascii="Arial;sans-serif" w:hAnsi="Arial;sans-serif"/>
          <w:b w:val="false"/>
          <w:color w:val="000000"/>
          <w:sz w:val="20"/>
        </w:rPr>
        <w:t>, for the same quarter in 2025.</w:t>
      </w:r>
    </w:p>
    <w:p>
      <w:pPr>
        <w:pStyle w:val="TextBody"/>
        <w:bidi w:val="0"/>
        <w:spacing w:lineRule="auto" w:line="288" w:before="180" w:after="283"/>
        <w:jc w:val="left"/>
        <w:rPr/>
      </w:pPr>
      <w:r>
        <w:rPr>
          <w:rFonts w:ascii="Arial;sans-serif" w:hAnsi="Arial;sans-serif"/>
          <w:b w:val="false"/>
          <w:color w:val="000000"/>
          <w:sz w:val="20"/>
        </w:rPr>
        <w:t>The number of revenue-generating professionals</w:t>
      </w:r>
      <w:r>
        <w:rPr>
          <w:rFonts w:ascii="Arial;sans-serif" w:hAnsi="Arial;sans-serif"/>
          <w:b w:val="false"/>
          <w:color w:val="000000"/>
          <w:sz w:val="13"/>
        </w:rPr>
        <w:t>(1)</w:t>
      </w:r>
      <w:r>
        <w:rPr>
          <w:rFonts w:ascii="Arial;sans-serif" w:hAnsi="Arial;sans-serif"/>
          <w:b w:val="false"/>
          <w:color w:val="000000"/>
          <w:sz w:val="20"/>
        </w:rPr>
        <w:t>, excluding Managed Services professionals, increased 7.0% to 5,335 as of June 30, 2026 from 4,986 as of June 30, 2025 as a result of the acquisitions completed since the second quarter of 2025 and hiring to support the overall increase in demand for the company's services. The utilization rate</w:t>
      </w:r>
      <w:r>
        <w:rPr>
          <w:rFonts w:ascii="Arial;sans-serif" w:hAnsi="Arial;sans-serif"/>
          <w:b w:val="false"/>
          <w:color w:val="000000"/>
          <w:sz w:val="13"/>
        </w:rPr>
        <w:t xml:space="preserve">(8) </w:t>
      </w:r>
      <w:r>
        <w:rPr>
          <w:rFonts w:ascii="Arial;sans-serif" w:hAnsi="Arial;sans-serif"/>
          <w:b w:val="false"/>
          <w:color w:val="000000"/>
          <w:sz w:val="20"/>
        </w:rPr>
        <w:t>of the company's Consulting capability increased to 81.3% during the second quarter of 2026, compared to 77.0% during the same period last year. The utilization rate</w:t>
      </w:r>
      <w:r>
        <w:rPr>
          <w:rFonts w:ascii="Arial;sans-serif" w:hAnsi="Arial;sans-serif"/>
          <w:b w:val="false"/>
          <w:color w:val="000000"/>
          <w:sz w:val="13"/>
        </w:rPr>
        <w:t>(8)</w:t>
      </w:r>
      <w:r>
        <w:rPr>
          <w:color w:val="000000"/>
        </w:rPr>
        <w:t xml:space="preserve"> </w:t>
      </w:r>
      <w:r>
        <w:rPr>
          <w:rFonts w:ascii="Arial;sans-serif" w:hAnsi="Arial;sans-serif"/>
          <w:b w:val="false"/>
          <w:color w:val="000000"/>
          <w:sz w:val="20"/>
        </w:rPr>
        <w:t>for the company's Digital capability increased to 81.8% during the second quarter of 2026, compared to 77.8% during the same period last year. The number of Managed Services professionals increased to 3,913 as of June 30, 2026 from 1,895 as of June 30, 2025. This increase includes the company's acquisition of RelateCare in the second quarter of 2026, which added approximately 1,100 Managed Services professionals.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Huron returned $53.1 million to shareholders in Q2 2026 by repurchasing 438,456 shares of the company's common stock, representing 2.5% of the company's common stock outstanding as of December 31, 2025.</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YEAR-TO-DATE 2026 RESULTS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Revenues before reimbursable expenses (RBR) increased $111.2 million, or 13.9%, to $909.3 million for the first six months of 2026 from $798.2 million for the first six months of 2025. This growth reflects strength in demand across all three of the company's operating segments and across both the company's Consulting and Managed Services and Digital capabilities. The overall increase includes $38.7 million of incremental RBR from the company's acquisitions completed since December 31, 2024. Excluding the $38.7 million of incremental RBR from the company's acquisitions, RBR grew 9.1% organically.</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Net income increased $10.5 million, or 23.9%, to $54.5 million for the first six months of 2026, compared to $44.0 million for the first six months of 2025. Results for the first six months of 2025 include an $8.2 million non-cash impairment charge, net of tax, related to the company's convertible debt investment in a third-party. Diluted earnings per share increased $0.80, or 33.1%, to $3.22 for the first six months of 2026, compared to $2.42 for the first six months of 2025. The non-cash impairment charge related to the company's convertible debt investment in a third-party had an unfavorable $0.45 impact on diluted earnings per share for the first six months of 2025.</w:t>
      </w:r>
    </w:p>
    <w:p>
      <w:pPr>
        <w:pStyle w:val="TextBody"/>
        <w:bidi w:val="0"/>
        <w:spacing w:lineRule="auto" w:line="288" w:before="180" w:after="283"/>
        <w:jc w:val="left"/>
        <w:rPr/>
      </w:pPr>
      <w:r>
        <w:rPr>
          <w:rFonts w:ascii="Arial;sans-serif" w:hAnsi="Arial;sans-serif"/>
          <w:b w:val="false"/>
          <w:color w:val="000000"/>
          <w:sz w:val="20"/>
        </w:rPr>
        <w:t>EBITDA</w:t>
      </w:r>
      <w:r>
        <w:rPr>
          <w:rFonts w:ascii="Arial;sans-serif" w:hAnsi="Arial;sans-serif"/>
          <w:b w:val="false"/>
          <w:color w:val="000000"/>
          <w:sz w:val="13"/>
        </w:rPr>
        <w:t>(9)</w:t>
      </w:r>
      <w:r>
        <w:rPr>
          <w:color w:val="000000"/>
        </w:rPr>
        <w:t xml:space="preserve"> </w:t>
      </w:r>
      <w:r>
        <w:rPr>
          <w:rFonts w:ascii="Arial;sans-serif" w:hAnsi="Arial;sans-serif"/>
          <w:b w:val="false"/>
          <w:color w:val="000000"/>
          <w:sz w:val="20"/>
        </w:rPr>
        <w:t xml:space="preserve">increased $32.6 million, or 41.5%, to $111.2 million for the first six months of 2026, compared to $78.6 million for the first six months of 2025. </w:t>
      </w:r>
    </w:p>
    <w:p>
      <w:pPr>
        <w:pStyle w:val="TextBody"/>
        <w:bidi w:val="0"/>
        <w:spacing w:before="0" w:after="0"/>
        <w:jc w:val="right"/>
        <w:rPr/>
      </w:pPr>
      <w:r>
        <w:rPr/>
        <w:drawing>
          <wp:inline distT="0" distB="0" distL="0" distR="0">
            <wp:extent cx="1638300" cy="2857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638300" cy="28575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In addition to using EBITDA to evaluate the company’s financial performance, management uses other non-GAAP financial measures, which exclude the effect of the following items (in thousands). </w:t>
      </w:r>
    </w:p>
    <w:tbl>
      <w:tblPr>
        <w:tblW w:w="6788" w:type="dxa"/>
        <w:jc w:val="left"/>
        <w:tblInd w:w="0" w:type="dxa"/>
        <w:tblLayout w:type="fixed"/>
        <w:tblCellMar>
          <w:top w:w="28" w:type="dxa"/>
          <w:left w:w="28" w:type="dxa"/>
          <w:bottom w:w="28" w:type="dxa"/>
          <w:right w:w="28" w:type="dxa"/>
        </w:tblCellMar>
      </w:tblPr>
      <w:tblGrid>
        <w:gridCol w:w="1563"/>
        <w:gridCol w:w="1374"/>
        <w:gridCol w:w="1382"/>
        <w:gridCol w:w="211"/>
        <w:gridCol w:w="706"/>
        <w:gridCol w:w="109"/>
        <w:gridCol w:w="109"/>
        <w:gridCol w:w="109"/>
        <w:gridCol w:w="109"/>
        <w:gridCol w:w="211"/>
        <w:gridCol w:w="75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losses (gains)</w:t>
            </w:r>
            <w:r>
              <w:rPr>
                <w:rFonts w:ascii="Arial;sans-serif" w:hAnsi="Arial;sans-serif"/>
                <w:b w:val="false"/>
                <w:color w:val="000000"/>
                <w:sz w:val="13"/>
              </w:rPr>
              <w:t>(10)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 on long-term investments,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business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 of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transaction losses (gains),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sans-serif" w:hAnsi="Arial;sans-serif"/>
          <w:b w:val="false"/>
          <w:color w:val="000000"/>
          <w:sz w:val="20"/>
        </w:rPr>
        <w:t>Adjusted EBITDA</w:t>
      </w:r>
      <w:r>
        <w:rPr>
          <w:rFonts w:ascii="Arial;sans-serif" w:hAnsi="Arial;sans-serif"/>
          <w:b w:val="false"/>
          <w:color w:val="000000"/>
          <w:sz w:val="13"/>
        </w:rPr>
        <w:t>(9)</w:t>
      </w:r>
      <w:r>
        <w:rPr>
          <w:rFonts w:ascii="Arial;sans-serif" w:hAnsi="Arial;sans-serif"/>
          <w:b w:val="false"/>
          <w:color w:val="000000"/>
          <w:sz w:val="20"/>
        </w:rPr>
        <w:t>, increased $21.2 million, or 20.7%, to $123.2 million, or 13.6% of RBR</w:t>
      </w:r>
      <w:r>
        <w:rPr>
          <w:rFonts w:ascii="Arial;sans-serif" w:hAnsi="Arial;sans-serif"/>
          <w:b w:val="false"/>
          <w:color w:val="000000"/>
          <w:sz w:val="13"/>
        </w:rPr>
        <w:t>(9)</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for the first six months of 2026 from $102.1 million, or 12.8%</w:t>
      </w:r>
      <w:r>
        <w:rPr>
          <w:color w:val="000000"/>
        </w:rPr>
        <w:t xml:space="preserve"> </w:t>
      </w:r>
      <w:r>
        <w:rPr>
          <w:rFonts w:ascii="Arial;sans-serif" w:hAnsi="Arial;sans-serif"/>
          <w:b w:val="false"/>
          <w:color w:val="000000"/>
          <w:sz w:val="20"/>
        </w:rPr>
        <w:t>of RBR</w:t>
      </w:r>
      <w:r>
        <w:rPr>
          <w:rFonts w:ascii="Arial;sans-serif" w:hAnsi="Arial;sans-serif"/>
          <w:b w:val="false"/>
          <w:color w:val="000000"/>
          <w:sz w:val="13"/>
        </w:rPr>
        <w:t>(9)</w:t>
      </w:r>
      <w:r>
        <w:rPr>
          <w:rFonts w:ascii="Arial;sans-serif" w:hAnsi="Arial;sans-serif"/>
          <w:b w:val="false"/>
          <w:color w:val="000000"/>
          <w:sz w:val="20"/>
        </w:rPr>
        <w:t>, for the same prior year period. Adjusted net income</w:t>
      </w:r>
      <w:r>
        <w:rPr>
          <w:rFonts w:ascii="Arial;sans-serif" w:hAnsi="Arial;sans-serif"/>
          <w:b w:val="false"/>
          <w:color w:val="000000"/>
          <w:sz w:val="13"/>
        </w:rPr>
        <w:t>(9)</w:t>
      </w:r>
      <w:r>
        <w:rPr>
          <w:color w:val="000000"/>
        </w:rPr>
        <w:t xml:space="preserve"> </w:t>
      </w:r>
      <w:r>
        <w:rPr>
          <w:rFonts w:ascii="Arial;sans-serif" w:hAnsi="Arial;sans-serif"/>
          <w:b w:val="false"/>
          <w:color w:val="000000"/>
          <w:sz w:val="20"/>
        </w:rPr>
        <w:t>increased $5.5 million, or 8.5%, to $70.3 million, or $4.16 per diluted share</w:t>
      </w:r>
      <w:r>
        <w:rPr>
          <w:rFonts w:ascii="Arial;sans-serif" w:hAnsi="Arial;sans-serif"/>
          <w:b w:val="false"/>
          <w:color w:val="000000"/>
          <w:sz w:val="13"/>
        </w:rPr>
        <w:t>(9)</w:t>
      </w:r>
      <w:r>
        <w:rPr>
          <w:rFonts w:ascii="Arial;sans-serif" w:hAnsi="Arial;sans-serif"/>
          <w:b w:val="false"/>
          <w:color w:val="000000"/>
          <w:sz w:val="20"/>
        </w:rPr>
        <w:t>, for the first six months of 2026, compared to $64.8 million, or $3.57 per diluted share</w:t>
      </w:r>
      <w:r>
        <w:rPr>
          <w:rFonts w:ascii="Arial;sans-serif" w:hAnsi="Arial;sans-serif"/>
          <w:b w:val="false"/>
          <w:color w:val="000000"/>
          <w:sz w:val="13"/>
        </w:rPr>
        <w:t>(9)</w:t>
      </w:r>
      <w:r>
        <w:rPr>
          <w:rFonts w:ascii="Arial;sans-serif" w:hAnsi="Arial;sans-serif"/>
          <w:b w:val="false"/>
          <w:color w:val="000000"/>
          <w:sz w:val="20"/>
        </w:rPr>
        <w:t>, for the same prior year period.</w:t>
      </w:r>
    </w:p>
    <w:p>
      <w:pPr>
        <w:pStyle w:val="TextBody"/>
        <w:bidi w:val="0"/>
        <w:spacing w:lineRule="auto" w:line="288" w:before="180" w:after="283"/>
        <w:jc w:val="left"/>
        <w:rPr/>
      </w:pPr>
      <w:r>
        <w:rPr>
          <w:rFonts w:ascii="Arial;sans-serif" w:hAnsi="Arial;sans-serif"/>
          <w:b w:val="false"/>
          <w:color w:val="000000"/>
          <w:sz w:val="20"/>
        </w:rPr>
        <w:t>The number of revenue-generating professionals</w:t>
      </w:r>
      <w:r>
        <w:rPr>
          <w:rFonts w:ascii="Arial;sans-serif" w:hAnsi="Arial;sans-serif"/>
          <w:b w:val="false"/>
          <w:color w:val="000000"/>
          <w:sz w:val="13"/>
        </w:rPr>
        <w:t>(1)</w:t>
      </w:r>
      <w:r>
        <w:rPr>
          <w:rFonts w:ascii="Arial;sans-serif" w:hAnsi="Arial;sans-serif"/>
          <w:b w:val="false"/>
          <w:color w:val="000000"/>
          <w:sz w:val="20"/>
        </w:rPr>
        <w:t>, excluding Managed Services professionals, increased 7.0% to 5,335 as of June 30, 2026 from 4,986 as of June 30, 2025 as a result of the acquisitions completed since the second quarter of 2025 and hiring to support the overall increase in demand for the company's services. The utilization rate</w:t>
      </w:r>
      <w:r>
        <w:rPr>
          <w:rFonts w:ascii="Arial;sans-serif" w:hAnsi="Arial;sans-serif"/>
          <w:b w:val="false"/>
          <w:color w:val="000000"/>
          <w:sz w:val="13"/>
        </w:rPr>
        <w:t xml:space="preserve">(8) </w:t>
      </w:r>
      <w:r>
        <w:rPr>
          <w:rFonts w:ascii="Arial;sans-serif" w:hAnsi="Arial;sans-serif"/>
          <w:b w:val="false"/>
          <w:color w:val="000000"/>
          <w:sz w:val="20"/>
        </w:rPr>
        <w:t>of the company's Consulting capability increased to 77.8% during the first six months of 2026, compared to 75.6% during the same period last year. The utilization rate</w:t>
      </w:r>
      <w:r>
        <w:rPr>
          <w:rFonts w:ascii="Arial;sans-serif" w:hAnsi="Arial;sans-serif"/>
          <w:b w:val="false"/>
          <w:color w:val="000000"/>
          <w:sz w:val="13"/>
        </w:rPr>
        <w:t>(8)</w:t>
      </w:r>
      <w:r>
        <w:rPr>
          <w:color w:val="000000"/>
        </w:rPr>
        <w:t xml:space="preserve"> </w:t>
      </w:r>
      <w:r>
        <w:rPr>
          <w:rFonts w:ascii="Arial;sans-serif" w:hAnsi="Arial;sans-serif"/>
          <w:b w:val="false"/>
          <w:color w:val="000000"/>
          <w:sz w:val="20"/>
        </w:rPr>
        <w:t>for the company's Digital capability increased to 78.3% during the first six months of 2026, compared to 78.0% during the same period last year. The number of Managed Services professionals increased to 3,913 as of June 30, 2026 from 1,895 as of June 30, 2025. This increase includes the company's acquisition of RelateCare in the second quarter of 2026, which added approximately 1,100 Managed Services professionals.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Huron returned $208.6 million to shareholders during the first six months of 2026 through repurchases of 1,553,262 shares of the company's common stock, representing 9.0% of the company's common stock outstanding as of December 31, 2025.</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OPERATING INDUSTRIES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The company’s year-to-date 2026 revenues before reimbursable expenses (RBR) by operating segment as a percentage of total company RBR are as follows: Healthcare (50%); Education (29%); and Commercial (21%). Financial results by operating industry are included in the attached schedules and in Huron's forthcoming Quarterly Report on Form 10-Q filing for the quarter ended June 30, 2026.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OUTLOOK FOR 2026</w:t>
      </w:r>
    </w:p>
    <w:p>
      <w:pPr>
        <w:pStyle w:val="TextBody"/>
        <w:bidi w:val="0"/>
        <w:spacing w:lineRule="auto" w:line="288" w:before="180" w:after="283"/>
        <w:jc w:val="left"/>
        <w:rPr/>
      </w:pPr>
      <w:r>
        <w:rPr>
          <w:rFonts w:ascii="Arial;sans-serif" w:hAnsi="Arial;sans-serif"/>
          <w:b w:val="false"/>
          <w:color w:val="000000"/>
          <w:sz w:val="20"/>
        </w:rPr>
        <w:t>Based on currently available information, the company increased guidance for full year 2026 revenues before reimbursable expenses (RBR) to a range of $1.85 billion to $1.89 billion. The company also anticipates adjusted EBITDA as a percentage of RBR</w:t>
      </w:r>
      <w:r>
        <w:rPr>
          <w:rFonts w:ascii="Arial;sans-serif" w:hAnsi="Arial;sans-serif"/>
          <w:b w:val="false"/>
          <w:color w:val="000000"/>
          <w:sz w:val="13"/>
        </w:rPr>
        <w:t>(9)</w:t>
      </w:r>
      <w:r>
        <w:rPr>
          <w:color w:val="000000"/>
        </w:rPr>
        <w:t xml:space="preserve"> </w:t>
      </w:r>
      <w:r>
        <w:rPr>
          <w:rFonts w:ascii="Arial;sans-serif" w:hAnsi="Arial;sans-serif"/>
          <w:b w:val="false"/>
          <w:color w:val="000000"/>
          <w:sz w:val="20"/>
        </w:rPr>
        <w:t>in a range of 14.5% to 15.0%, and adjusted diluted earnings per share</w:t>
      </w:r>
      <w:r>
        <w:rPr>
          <w:rFonts w:ascii="Arial;sans-serif" w:hAnsi="Arial;sans-serif"/>
          <w:b w:val="false"/>
          <w:color w:val="000000"/>
          <w:sz w:val="13"/>
        </w:rPr>
        <w:t>(9)</w:t>
      </w:r>
      <w:r>
        <w:rPr>
          <w:color w:val="000000"/>
        </w:rPr>
        <w:t xml:space="preserve"> </w:t>
      </w:r>
      <w:r>
        <w:rPr>
          <w:rFonts w:ascii="Arial;sans-serif" w:hAnsi="Arial;sans-serif"/>
          <w:b w:val="false"/>
          <w:color w:val="000000"/>
          <w:sz w:val="20"/>
        </w:rPr>
        <w:t xml:space="preserve">guidance in a range of $9.00 to $9.40.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SECOND QUARTER 2026 WEBCAST</w:t>
      </w:r>
    </w:p>
    <w:p>
      <w:pPr>
        <w:pStyle w:val="TextBody"/>
        <w:bidi w:val="0"/>
        <w:spacing w:lineRule="auto" w:line="288" w:before="180" w:after="283"/>
        <w:jc w:val="left"/>
        <w:rPr/>
      </w:pPr>
      <w:r>
        <w:rPr>
          <w:rFonts w:ascii="Arial;sans-serif" w:hAnsi="Arial;sans-serif"/>
          <w:b w:val="false"/>
          <w:color w:val="000000"/>
          <w:sz w:val="20"/>
        </w:rPr>
        <w:t xml:space="preserve">The company will host a webcast to discuss its financial results today, July 28, 2026, at 5:00 p.m. Eastern Time, 4:00 p.m. Central Time. The conference call is being webcast by Notified and can be accessed from Huron's website at </w:t>
      </w:r>
      <w:r>
        <w:rPr>
          <w:rFonts w:ascii="Arial;sans-serif" w:hAnsi="Arial;sans-serif"/>
          <w:b w:val="false"/>
          <w:color w:val="0000FF"/>
          <w:sz w:val="20"/>
          <w:u w:val="single"/>
        </w:rPr>
        <w:t>http://ir.huronconsultinggroup.com</w:t>
      </w:r>
      <w:r>
        <w:rPr>
          <w:rFonts w:ascii="Arial;sans-serif" w:hAnsi="Arial;sans-serif"/>
          <w:b w:val="false"/>
          <w:color w:val="000000"/>
          <w:sz w:val="20"/>
        </w:rPr>
        <w:t>. A replay will be available approximately two hours after the conclusion of the webcast and for 90 days thereafter.</w:t>
      </w:r>
    </w:p>
    <w:p>
      <w:pPr>
        <w:pStyle w:val="TextBody"/>
        <w:bidi w:val="0"/>
        <w:spacing w:before="0" w:after="0"/>
        <w:jc w:val="right"/>
        <w:rPr/>
      </w:pPr>
      <w:r>
        <w:rPr/>
        <w:drawing>
          <wp:inline distT="0" distB="0" distL="0" distR="0">
            <wp:extent cx="1638300" cy="2857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638300" cy="28575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pPr>
      <w:r>
        <w:rPr>
          <w:rFonts w:ascii="Arial;sans-serif" w:hAnsi="Arial;sans-serif"/>
          <w:b/>
          <w:color w:val="000000"/>
          <w:sz w:val="20"/>
        </w:rPr>
        <w:t>USE OF NON-GAAP FINANCIAL MEASURES</w:t>
      </w:r>
      <w:r>
        <w:rPr>
          <w:rFonts w:ascii="Arial;sans-serif" w:hAnsi="Arial;sans-serif"/>
          <w:b/>
          <w:color w:val="000000"/>
          <w:sz w:val="13"/>
        </w:rPr>
        <w:t>(9)</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 evaluating the company’s financial performance and outlook, management uses EBITDA, adjusted EBITDA, adjusted EBITDA as a percentage of revenues before reimbursable expenses (RBR), adjusted net income, and adjusted diluted earnings per share, which are non-GAAP financial measures. Management uses these non-GAAP financial measures to gain an understanding of the company's comparative operating performance (when comparing such results with previous periods or forecasts). These non-GAAP financial measures are used by management in their financial and operating decision making because management believes they reflect the company's ongoing business in a manner that allows for meaningful period-to-period comparisons. Management also uses these non-GAAP financial measures when publicly providing the company's business outlook, for internal management purposes, and as a basis for evaluating potential acquisitions and dispositions. Management believes that these non-GAAP financial measures provide useful information to investors and others in understanding and evaluating Huron’s current operating performance and future prospects in the same manner as management does, if they so choose, and in comparing in a consistent manner Huron’s current financial results with Huron’s past financial results. Investors should recognize that these non-GAAP financial measures might not be comparable to similarly titled measures of other companies. These measures should be considered in addition to, and not as a substitute for or superior to, any measure of performance, cash flows or liquidity prepared in accordance with accounting principles generally accepted in the United States.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Management has provided its outlook regarding adjusted EBITDA as a percentage of RBR and adjusted diluted earnings per share, both of which are non-GAAP financial measures and exclude certain charges. Management has not reconciled these non-GAAP financial measures to the corresponding GAAP financial measures because guidance for the various reconciling items is not provided. Management is unable to provide guidance for these reconciling items because they cannot determine their probable significance, as certain items are outside of the company's control and cannot be reasonably predicted since these items could vary significantly from period to period. Accordingly, reconciliations to the corresponding GAAP financial measures are not available without unreasonable effort.</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ABOUT HURON</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Huron is a global professional services firm that collaborates with organizations to help solve their most complex challenges and achieve their most ambitious goals. Working across the private and public sectors, we partner closely with clients to improve performance, accelerate transformation, and unlock new opportunities for growth. </w:t>
      </w:r>
    </w:p>
    <w:p>
      <w:pPr>
        <w:pStyle w:val="TextBody"/>
        <w:bidi w:val="0"/>
        <w:spacing w:lineRule="auto" w:line="288" w:before="180" w:after="283"/>
        <w:jc w:val="left"/>
        <w:rPr/>
      </w:pPr>
      <w:r>
        <w:rPr>
          <w:rFonts w:ascii="Arial;sans-serif" w:hAnsi="Arial;sans-serif"/>
          <w:b w:val="false"/>
          <w:color w:val="000000"/>
          <w:sz w:val="20"/>
        </w:rPr>
        <w:t xml:space="preserve">Our clients choose us because of our deep industry and technical expertise and proven track record of turning sound strategies into action. By combining practical experience, innovative thinking, and advanced analytics and technology, Huron helps organizations translate today’s ideas into tangible results and long-term value. Learn more at </w:t>
      </w:r>
      <w:r>
        <w:rPr>
          <w:rFonts w:ascii="Arial;sans-serif" w:hAnsi="Arial;sans-serif"/>
          <w:b w:val="false"/>
          <w:color w:val="0000FF"/>
          <w:sz w:val="20"/>
          <w:u w:val="single"/>
        </w:rPr>
        <w:t>www.huronconsultinggroup.com</w:t>
      </w:r>
      <w:r>
        <w:rPr>
          <w:rFonts w:ascii="Arial;sans-serif" w:hAnsi="Arial;sans-serif"/>
          <w:b w:val="false"/>
          <w:color w:val="000000"/>
          <w:sz w:val="20"/>
        </w:rPr>
        <w:t xml:space="preserve">. </w: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 xml:space="preserve">Statements in this press release that are not historical in nature, including those concerning the company’s current expectations about its future results, are “forward-looking” statements as defined in Section 21E of the Securities Exchange Act of 1934, as amended, and the Private Securities Litigation Reform Act of 1995. Forward-looking statements are identified by words such as “may,” “should,” “expects,” “provides,” “anticipates,” “assumes,” “can,” “will,” “meets,” “could,” “likely,” “intends,” “might,” “predicts,” “seeks,” “would,” “believes,” “estimates,” “plans,” “positions,” “continues,” “goals,” “guidance,” or “outlook,” or similar expressions. These forward-looking statements reflect the company's current expectations about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our ability to realize the expected benefits and potential opportunities of artificial intelligence (AI);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or volatility in market conditions, including as a result of current global trade tensions and/or tariffs. These forward-looking statements involve known and unknown risks, uncertainties, and other factors, including, among others, those described under “Item 1A. Risk Factors” in Huron's Annual Report on Form 10-K for the year ended December 31, 2025 that may cause actual results, levels of activity, performance or achievements to be materially different from any anticipated results, levels of activity, performance, or achievements expressed or implied by these forward-looking statements. The company disclaims any obligation to update or revise any forward-looking statements as a result of new information or future events, or for any other reason. </w:t>
      </w:r>
    </w:p>
    <w:p>
      <w:pPr>
        <w:pStyle w:val="TextBody"/>
        <w:bidi w:val="0"/>
        <w:spacing w:before="0" w:after="0"/>
        <w:jc w:val="right"/>
        <w:rPr/>
      </w:pPr>
      <w:r>
        <w:rPr/>
        <w:drawing>
          <wp:inline distT="0" distB="0" distL="0" distR="0">
            <wp:extent cx="1638300" cy="2857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638300" cy="28575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Please note that information contained in any referenced website is not incorporated by reference in this press release or considered to be part of this document. Such website references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HURON CONSULTING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 AND OTHER COMPREHENSIVE INCOME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19"/>
        <w:gridCol w:w="1430"/>
        <w:gridCol w:w="144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1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before reimbursable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Reimbursable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revenues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815,896 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costs (exclusive of depreciation and amortization included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547,071 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Reimbursable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losses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737,510 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(29,226)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basic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diluted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used in calculating 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 (loss):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investment,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cash flow hedging instruments,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HURON CONSULTING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04"/>
        <w:gridCol w:w="2256"/>
        <w:gridCol w:w="2243"/>
        <w:gridCol w:w="211"/>
        <w:gridCol w:w="976"/>
        <w:gridCol w:w="109"/>
        <w:gridCol w:w="109"/>
        <w:gridCol w:w="109"/>
        <w:gridCol w:w="109"/>
        <w:gridCol w:w="216"/>
        <w:gridCol w:w="1003"/>
        <w:gridCol w:w="160"/>
      </w:tblGrid>
      <w:tr>
        <w:trPr/>
        <w:tc>
          <w:tcPr>
            <w:tcW w:w="2704"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December 31, </w:t>
              <w:br/>
              <w:t>2025</w:t>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clients,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Unbilled services,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448,584 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786,896 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1,526,683 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payroll and related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maturities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maturities of 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383,433 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and 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614,621 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Commitments and contingencies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$0.01 par value; 500,000,000 shares authorized; 19,373,897 and 20,465,234 shares issued,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3,407,005 and 3,269,301 shares,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(189,989)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528,629 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1,526,683 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HURON CONSULTING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pPr>
      <w:r>
        <w:rPr>
          <w:rFonts w:ascii="Arial;sans-serif" w:hAnsi="Arial;sans-serif"/>
          <w:b/>
          <w:color w:val="000000"/>
          <w:sz w:val="20"/>
        </w:rPr>
        <w:t>(Unaudited)</w:t>
      </w:r>
      <w:r>
        <w:rPr>
          <w:color w:val="000000"/>
        </w:rPr>
        <w:t> </w:t>
      </w:r>
    </w:p>
    <w:tbl>
      <w:tblPr>
        <w:tblW w:w="8633" w:type="dxa"/>
        <w:jc w:val="left"/>
        <w:tblInd w:w="0" w:type="dxa"/>
        <w:tblLayout w:type="fixed"/>
        <w:tblCellMar>
          <w:top w:w="28" w:type="dxa"/>
          <w:left w:w="28" w:type="dxa"/>
          <w:bottom w:w="28" w:type="dxa"/>
          <w:right w:w="28" w:type="dxa"/>
        </w:tblCellMar>
      </w:tblPr>
      <w:tblGrid>
        <w:gridCol w:w="2236"/>
        <w:gridCol w:w="1965"/>
        <w:gridCol w:w="1978"/>
        <w:gridCol w:w="211"/>
        <w:gridCol w:w="721"/>
        <w:gridCol w:w="109"/>
        <w:gridCol w:w="109"/>
        <w:gridCol w:w="109"/>
        <w:gridCol w:w="109"/>
        <w:gridCol w:w="211"/>
        <w:gridCol w:w="721"/>
        <w:gridCol w:w="154"/>
      </w:tblGrid>
      <w:tr>
        <w:trPr/>
        <w:tc>
          <w:tcPr>
            <w:tcW w:w="223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cash flows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Lease-related 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lease modification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Allowances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contingent consideration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fair value of equity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credit allowance on convertible debt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net of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receivables from clients,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unbilled services,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current income tax receivable / payable,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accounts payable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accrued payroll and related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deferred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life insurance policies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businesses,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internally developed software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Origination of note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note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divestiture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exercises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redeemed for employee tax withholdings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bank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bank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payments for business 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HURON CONSULTING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SEGMENT OPERATING RESULTS AND OTHER OPERATING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1052" w:type="dxa"/>
        <w:jc w:val="center"/>
        <w:tblInd w:w="0" w:type="dxa"/>
        <w:tblLayout w:type="fixed"/>
        <w:tblCellMar>
          <w:top w:w="28" w:type="dxa"/>
          <w:left w:w="28" w:type="dxa"/>
          <w:bottom w:w="28" w:type="dxa"/>
          <w:right w:w="28" w:type="dxa"/>
        </w:tblCellMar>
      </w:tblPr>
      <w:tblGrid>
        <w:gridCol w:w="1006"/>
        <w:gridCol w:w="397"/>
        <w:gridCol w:w="398"/>
        <w:gridCol w:w="109"/>
        <w:gridCol w:w="109"/>
        <w:gridCol w:w="109"/>
        <w:gridCol w:w="211"/>
        <w:gridCol w:w="826"/>
        <w:gridCol w:w="271"/>
        <w:gridCol w:w="109"/>
        <w:gridCol w:w="109"/>
        <w:gridCol w:w="109"/>
        <w:gridCol w:w="211"/>
        <w:gridCol w:w="826"/>
        <w:gridCol w:w="271"/>
        <w:gridCol w:w="109"/>
        <w:gridCol w:w="109"/>
        <w:gridCol w:w="109"/>
        <w:gridCol w:w="335"/>
        <w:gridCol w:w="335"/>
        <w:gridCol w:w="336"/>
        <w:gridCol w:w="109"/>
        <w:gridCol w:w="109"/>
        <w:gridCol w:w="109"/>
        <w:gridCol w:w="211"/>
        <w:gridCol w:w="826"/>
        <w:gridCol w:w="271"/>
        <w:gridCol w:w="109"/>
        <w:gridCol w:w="109"/>
        <w:gridCol w:w="109"/>
        <w:gridCol w:w="211"/>
        <w:gridCol w:w="826"/>
        <w:gridCol w:w="271"/>
        <w:gridCol w:w="109"/>
        <w:gridCol w:w="109"/>
        <w:gridCol w:w="109"/>
        <w:gridCol w:w="307"/>
        <w:gridCol w:w="307"/>
        <w:gridCol w:w="437"/>
      </w:tblGrid>
      <w:tr>
        <w:trPr/>
        <w:tc>
          <w:tcPr>
            <w:tcW w:w="100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br/>
              <w:t>Increase</w:t>
              <w:br/>
              <w:t>(Decrease)</w:t>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and Consolidated Operating Results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232,303 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457,504 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396,312 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15.4%</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15.4%</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Segment 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252,049 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5.9%</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17.3%</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23.5%</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45.6%</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13.9%</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411,755 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926,809 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815,896 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13.6%</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Items not allocated at the segment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17.6%</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(98.4)%</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62.3%</w:t>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10.8%</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(42.3)%</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42.3%</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Operating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Number of revenue-generating professionals by segment (at period end)</w:t>
            </w:r>
            <w:r>
              <w:rPr>
                <w:rFonts w:ascii="Arial;sans-serif" w:hAnsi="Arial;sans-serif"/>
                <w:b/>
                <w:color w:val="000000"/>
                <w:sz w:val="12"/>
              </w:rPr>
              <w:t>(1)</w:t>
            </w: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Healthcare</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17.2%</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Education</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Commercial</w:t>
            </w:r>
            <w:r>
              <w:rPr>
                <w:rFonts w:ascii="Arial;sans-serif" w:hAnsi="Arial;sans-serif"/>
                <w:b w:val="false"/>
                <w:color w:val="000000"/>
                <w:sz w:val="12"/>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(excluding 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Managed Services</w:t>
            </w:r>
            <w:r>
              <w:rPr>
                <w:rFonts w:ascii="Arial;sans-serif" w:hAnsi="Arial;sans-serif"/>
                <w:b w:val="false"/>
                <w:color w:val="000000"/>
                <w:sz w:val="12"/>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106.5%</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34.4%</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 before reimbursable expenses by capability: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Consulting and Managed Services</w:t>
            </w:r>
            <w:r>
              <w:rPr>
                <w:rFonts w:ascii="Arial;sans-serif" w:hAnsi="Arial;sans-serif"/>
                <w:b w:val="false"/>
                <w:color w:val="000000"/>
                <w:sz w:val="12"/>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453,043 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20.9%</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189,715 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361,810 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909,348 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798,195 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13.9%</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Number of revenue-generating professionals by capability (at period end)</w:t>
            </w:r>
            <w:r>
              <w:rPr>
                <w:rFonts w:ascii="Arial;sans-serif" w:hAnsi="Arial;sans-serif"/>
                <w:b/>
                <w:color w:val="000000"/>
                <w:sz w:val="12"/>
              </w:rPr>
              <w:t>(1)</w:t>
            </w: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Consulting</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16.4%</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Managed Services</w:t>
            </w:r>
            <w:r>
              <w:rPr>
                <w:rFonts w:ascii="Arial;sans-serif" w:hAnsi="Arial;sans-serif"/>
                <w:b w:val="false"/>
                <w:color w:val="000000"/>
                <w:sz w:val="12"/>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106.5%</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34.4%</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Utilization rate by capability</w:t>
            </w:r>
            <w:r>
              <w:rPr>
                <w:rFonts w:ascii="Arial;sans-serif" w:hAnsi="Arial;sans-serif"/>
                <w:b/>
                <w:color w:val="000000"/>
                <w:sz w:val="12"/>
              </w:rPr>
              <w:t>(8)</w:t>
            </w: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HURON CONSULTING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NET INCOME</w:t>
      </w:r>
    </w:p>
    <w:p>
      <w:pPr>
        <w:pStyle w:val="TextBody"/>
        <w:bidi w:val="0"/>
        <w:spacing w:lineRule="auto" w:line="288" w:before="0" w:after="0"/>
        <w:jc w:val="center"/>
        <w:rPr/>
      </w:pPr>
      <w:r>
        <w:rPr>
          <w:rFonts w:ascii="Arial;sans-serif" w:hAnsi="Arial;sans-serif"/>
          <w:b/>
          <w:color w:val="000000"/>
          <w:sz w:val="20"/>
        </w:rPr>
        <w:t>TO ADJUSTED EARNINGS BEFORE INTEREST, TAXES, DEPRECIATION AND AMORTIZATION</w:t>
      </w:r>
      <w:r>
        <w:rPr>
          <w:rFonts w:ascii="Arial;sans-serif" w:hAnsi="Arial;sans-serif"/>
          <w:b/>
          <w:color w:val="000000"/>
          <w:sz w:val="13"/>
        </w:rPr>
        <w:t>(9)</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94"/>
        <w:gridCol w:w="1173"/>
        <w:gridCol w:w="1178"/>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594"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 before reimbursable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909,348 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798,195 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Reimbursable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411,755 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926,809 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815,896 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Net income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54,481 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43,966 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as a percentage of total revenues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back:</w:t>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Earnings before interest, taxes, depreciation and amortization (EBITDA)</w:t>
            </w:r>
            <w:r>
              <w:rPr>
                <w:rFonts w:ascii="Arial;sans-serif" w:hAnsi="Arial;sans-serif"/>
                <w:b/>
                <w:color w:val="000000"/>
                <w:sz w:val="12"/>
              </w:rPr>
              <w:t>(9)</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78,555 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back:</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losses (gains)</w:t>
            </w:r>
            <w:r>
              <w:rPr>
                <w:rFonts w:ascii="Arial;sans-serif" w:hAnsi="Arial;sans-serif"/>
                <w:b w:val="false"/>
                <w:color w:val="000000"/>
                <w:sz w:val="12"/>
              </w:rPr>
              <w:t>(10)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long-term investments,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losses (gains),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EBITDA</w:t>
            </w:r>
            <w:r>
              <w:rPr>
                <w:rFonts w:ascii="Arial;sans-serif" w:hAnsi="Arial;sans-serif"/>
                <w:b/>
                <w:color w:val="000000"/>
                <w:sz w:val="12"/>
              </w:rPr>
              <w:t>(9)</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102,070 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EBITDA as a percentage of revenues before reimbursable expenses</w:t>
            </w:r>
            <w:r>
              <w:rPr>
                <w:rFonts w:ascii="Arial;sans-serif" w:hAnsi="Arial;sans-serif"/>
                <w:b/>
                <w:color w:val="000000"/>
                <w:sz w:val="12"/>
              </w:rPr>
              <w:t>(9)</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HURON CONSULTING GROUP INC.</w:t>
      </w:r>
    </w:p>
    <w:p>
      <w:pPr>
        <w:pStyle w:val="TextBody"/>
        <w:bidi w:val="0"/>
        <w:spacing w:lineRule="auto" w:line="288" w:before="0" w:after="0"/>
        <w:jc w:val="center"/>
        <w:rPr/>
      </w:pPr>
      <w:r>
        <w:rPr>
          <w:rFonts w:ascii="Arial;sans-serif" w:hAnsi="Arial;sans-serif"/>
          <w:b/>
          <w:color w:val="000000"/>
          <w:sz w:val="20"/>
        </w:rPr>
        <w:t>RECONCILIATION OF NET INCOME TO ADJUSTED NET INCOME</w:t>
      </w:r>
      <w:r>
        <w:rPr>
          <w:rFonts w:ascii="Arial;sans-serif" w:hAnsi="Arial;sans-serif"/>
          <w:b/>
          <w:color w:val="000000"/>
          <w:sz w:val="13"/>
        </w:rPr>
        <w:t>(9)</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bl>
      <w:tblPr>
        <w:tblW w:w="9225" w:type="dxa"/>
        <w:jc w:val="center"/>
        <w:tblInd w:w="0" w:type="dxa"/>
        <w:tblLayout w:type="fixed"/>
        <w:tblCellMar>
          <w:top w:w="28" w:type="dxa"/>
          <w:left w:w="28" w:type="dxa"/>
          <w:bottom w:w="28" w:type="dxa"/>
          <w:right w:w="28" w:type="dxa"/>
        </w:tblCellMar>
      </w:tblPr>
      <w:tblGrid>
        <w:gridCol w:w="1461"/>
        <w:gridCol w:w="1284"/>
        <w:gridCol w:w="129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shares - diluted</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back:</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losses (gains)</w:t>
            </w:r>
            <w:r>
              <w:rPr>
                <w:rFonts w:ascii="Arial;sans-serif" w:hAnsi="Arial;sans-serif"/>
                <w:b w:val="false"/>
                <w:color w:val="000000"/>
                <w:sz w:val="12"/>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long-term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of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 net of 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net income</w:t>
            </w:r>
            <w:r>
              <w:rPr>
                <w:rFonts w:ascii="Arial;sans-serif" w:hAnsi="Arial;sans-serif"/>
                <w:b/>
                <w:color w:val="000000"/>
                <w:sz w:val="12"/>
              </w:rPr>
              <w:t>(9)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weighted average shares - diluted</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diluted earnings per share</w:t>
            </w:r>
            <w:r>
              <w:rPr>
                <w:rFonts w:ascii="Arial;sans-serif" w:hAnsi="Arial;sans-serif"/>
                <w:b/>
                <w:color w:val="000000"/>
                <w:sz w:val="12"/>
              </w:rPr>
              <w:t>(9)</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(1)    Consists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Managed Services professionals who provide revenue cycle, clinical and patient access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managed services, research administration managed services and outsourcing at our healthcare, education and research-focused clients.</w:t>
      </w:r>
    </w:p>
    <w:p>
      <w:pPr>
        <w:pStyle w:val="TextBody"/>
        <w:bidi w:val="0"/>
        <w:spacing w:lineRule="auto" w:line="288"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(2)    The majority of our revenue-generating professionals within our Commercial segment can provide services across all of our industries, including healthcare and education, and the related costs of these professionals are allocated to each of the segments.</w:t>
      </w:r>
    </w:p>
    <w:p>
      <w:pPr>
        <w:pStyle w:val="TextBody"/>
        <w:bidi w:val="0"/>
        <w:spacing w:lineRule="auto" w:line="288"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(3)    The increase in the number of revenue-generating professionals within our Commercial segment includes the company's acquisition of Treliant in the third quarter of 2025. This acquisition added approximately 180 revenue-generating professionals, of which approximately 65 are consultants who work variable schedules as needed by clients.</w:t>
      </w:r>
    </w:p>
    <w:p>
      <w:pPr>
        <w:pStyle w:val="TextBody"/>
        <w:bidi w:val="0"/>
        <w:spacing w:lineRule="auto" w:line="288"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(4)    During the first quarter of 2026, we reclassified the revenue-generating professionals within one of Commercial's Digital offerings to the same Digital offering within Healthcare as these revenue-generating professionals primarily provide services to clients in the healthcare industry. This reclassification had no impact on the total Huron headcount or RBR reported for any period.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number of revenue-generating professionals within this offering as of December 31, 2024, March 31, 2025, June 30, 2025, September 30, 2025 and December 31, 2025 was 190, 158, 154, 154, and 145, respectively. The prior period headcount reported by segment in the table above has been revised for consistent presentation.</w:t>
      </w:r>
    </w:p>
    <w:p>
      <w:pPr>
        <w:pStyle w:val="TextBody"/>
        <w:bidi w:val="0"/>
        <w:spacing w:lineRule="auto" w:line="288"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(5)    During the first quarter of 2026, we reclassified one of the offerings within Education's Managed Services capability to Education's Consulting capability. This reclassification had no impact on the total Huron headcount or RBR reported for any period.</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number of revenue-generating professionals within this offering as of December 31, 2024, March 31, 2025, June 30, 2025, September 30, 2025 and December 31, 2025 was 23, 22, 23, 21 and 21, respectively. The prior period headcount reported by segment and by capability in the table above has been revised for consistent presentation. The prior period Education Managed Services capability headcount in footnote (6) below has been revised for consistent presentation.</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RBR generated by this offering during the quarters ended March 31, 2025, June 30, 2025, September 30, 2025, and December 31, 2025 was $1.8 million, $1.4 million, $1.8 million, and $1.6 million, respectively, and during the years ended December 31, 2024 and 2025 was $7.3 million and $6.6 million, respectively. This reclassification did not impact the total Education Consulting and Managed Services RBR reported for any period, and the prior period Education Managed Services capability RBR in footnote (7) below has been revised for consistent presentation.</w:t>
      </w:r>
    </w:p>
    <w:p>
      <w:pPr>
        <w:pStyle w:val="TextBody"/>
        <w:bidi w:val="0"/>
        <w:spacing w:lineRule="auto" w:line="288"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(6)    We have separately presented the total number of revenue-generating professionals within our Managed Services capabilities of our Healthcare and Education segments. Our Healthcare Managed Services professionals provide revenue cycle, clinical and patient access services from patient scheduling and clinical triage through billing and collections. Our Education Managed Services professionals provide research administration managed services and outsourcing at our education and research-focused clients.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number of Managed Services professionals within our Healthcare segment was 3,794 and 1,807 as of June 30, 2026 and 2025, respectively. This increase includes the company's acquisition of RelateCare in the second quarter of 2026, which added approximately 1,100 Managed Services professionals.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number of Managed Services professionals within our Education segment was 119 and 88 as of June 30, 2026 and 2025, respectively.</w:t>
      </w:r>
    </w:p>
    <w:p>
      <w:pPr>
        <w:pStyle w:val="TextBody"/>
        <w:bidi w:val="0"/>
        <w:spacing w:lineRule="auto" w:line="288"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(7)    Managed Services capability RBR within our Healthcare segment was $34.4 million and $21.0 million for the three months ended June 30, 2026 and 2025, respectively; and $60.5 million and $39.3 million for the six months ended June 30, 2026 and 2025, respectively.</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Managed Services capability RBR within our Education segment was $6.9 million and $6.0 million for the three months ended June 30, 2026 and 2025, respectively; and $12.8 million and $11.5 million for the six months ended June 30, 2026 and 2025, respectively.</w:t>
      </w:r>
    </w:p>
    <w:p>
      <w:pPr>
        <w:pStyle w:val="TextBody"/>
        <w:bidi w:val="0"/>
        <w:spacing w:lineRule="auto" w:line="288"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(8)    Utilization rate is calculated by dividing the number of hours our billable consultants worked on client assignments during a period by the total available working hours for these billable consultants during the same period. Available working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have not presented utilization rates for our Managed Services professionals as most of the revenues generated by these employees are not billed on an hourly basis.</w:t>
      </w:r>
    </w:p>
    <w:p>
      <w:pPr>
        <w:pStyle w:val="TextBody"/>
        <w:bidi w:val="0"/>
        <w:spacing w:lineRule="auto" w:line="288"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(9)    In evaluating the company’s financial performance and outlook, management uses earnings before interest, taxes, depreciation and amortization (“EBITDA”), adjusted EBITDA, adjusted EBITDA as a percentage of revenues before reimbursable expenses, adjusted net income, and adjusted diluted earnings per share, which are non-GAAP financial measures. Management uses these non-GAAP financial measures to gain an understanding of the company's comparative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operating performance (when comparing such results with previous periods or forecasts). These non-GAAP financial measures are used by management in their financial and operating decision making because management believes they reflect the company's ongoing business in a manner that allows for meaningful period-to-period comparisons. Management also uses these non-GAAP financial measures when publicly providing the company's business outlook, for internal management purposes, and as a basis for evaluating potential acquisitions and dispositions. Management believes that these non-GAAP financial measures provide useful information to investors and others in understanding and evaluating Huron’s current operating performance and future prospects in the same manner as management does, if they so choose, and in comparing in a consistent manner Huron’s current financial results with Huron’s past financial results. Investors should recognize that these non-GAAP financial measures might not be comparable to similarly titled measures of other companies. These measures should be considered in addition to, and not as a substitute for or superior to, any measure of performance, cash flows or liquidity prepared in accordance with accounting principles generally accepted in the United States.</w:t>
      </w:r>
    </w:p>
    <w:p>
      <w:pPr>
        <w:pStyle w:val="TextBody"/>
        <w:bidi w:val="0"/>
        <w:spacing w:lineRule="auto" w:line="288" w:before="180" w:after="283"/>
        <w:ind w:left="0" w:right="0" w:hanging="360"/>
        <w:jc w:val="left"/>
        <w:rPr/>
      </w:pPr>
      <w:r>
        <w:rPr>
          <w:rFonts w:ascii="Arial;sans-serif" w:hAnsi="Arial;sans-serif"/>
          <w:b w:val="false"/>
          <w:color w:val="000000"/>
          <w:sz w:val="18"/>
        </w:rPr>
        <w:t>(10)    The non-GAAP financial measures for the three and six months ended June 30, 2026 include an adjustment for $3.9 million and $7.7 million, respectively,</w:t>
      </w:r>
      <w:r>
        <w:rPr>
          <w:color w:val="000000"/>
        </w:rPr>
        <w:t xml:space="preserve"> </w:t>
      </w:r>
      <w:r>
        <w:rPr>
          <w:rFonts w:ascii="Arial;sans-serif" w:hAnsi="Arial;sans-serif"/>
          <w:b w:val="false"/>
          <w:color w:val="000000"/>
          <w:sz w:val="18"/>
        </w:rPr>
        <w:t>of contingent consideration remeasurement charges to permit comparability with periods that are not impacted by these items. These remeasurement charges were recorded as a component of other losses (gains) on the consolidated statement of operations.</w:t>
      </w:r>
    </w:p>
    <w:p>
      <w:pPr>
        <w:pStyle w:val="TextBody"/>
        <w:bidi w:val="0"/>
        <w:spacing w:before="180" w:after="283"/>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6261</Words>
  <Characters>35926</Characters>
  <CharactersWithSpaces>41533</CharactersWithSpaces>
  <Paragraphs>1225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