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4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133350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2760" w:right="700" w:hanging="2757"/>
        <w:spacing w:after="0" w:line="40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13335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940" w:space="380"/>
            <w:col w:w="9920"/>
          </w:cols>
          <w:pgMar w:left="320" w:top="229"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80" w:type="dxa"/>
            <w:vAlign w:val="bottom"/>
          </w:tcPr>
          <w:p>
            <w:pPr>
              <w:jc w:val="center"/>
              <w:ind w:left="1318"/>
              <w:spacing w:after="0"/>
              <w:rPr>
                <w:sz w:val="20"/>
                <w:szCs w:val="20"/>
                <w:color w:val="auto"/>
              </w:rPr>
            </w:pPr>
            <w:r>
              <w:rPr>
                <w:rFonts w:ascii="Arial" w:cs="Arial" w:eastAsia="Arial" w:hAnsi="Arial"/>
                <w:sz w:val="18"/>
                <w:szCs w:val="18"/>
                <w:b w:val="1"/>
                <w:bCs w:val="1"/>
                <w:color w:val="auto"/>
                <w:w w:val="98"/>
              </w:rPr>
              <w:t>Delaware</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01-0666114</w:t>
            </w:r>
          </w:p>
        </w:tc>
      </w:tr>
      <w:tr>
        <w:trPr>
          <w:trHeight w:val="148"/>
        </w:trPr>
        <w:tc>
          <w:tcPr>
            <w:tcW w:w="3780" w:type="dxa"/>
            <w:vAlign w:val="bottom"/>
          </w:tcPr>
          <w:p>
            <w:pPr>
              <w:jc w:val="center"/>
              <w:ind w:left="131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80" w:type="dxa"/>
            <w:vAlign w:val="bottom"/>
          </w:tcPr>
          <w:p>
            <w:pPr>
              <w:jc w:val="center"/>
              <w:ind w:left="131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tcPr>
          <w:p>
            <w:pPr>
              <w:jc w:val="center"/>
              <w:ind w:right="1879"/>
              <w:spacing w:after="0"/>
              <w:rPr>
                <w:sz w:val="20"/>
                <w:szCs w:val="20"/>
                <w:color w:val="auto"/>
              </w:rPr>
            </w:pPr>
            <w:r>
              <w:rPr>
                <w:rFonts w:ascii="Arial" w:cs="Arial" w:eastAsia="Arial" w:hAnsi="Arial"/>
                <w:sz w:val="14"/>
                <w:szCs w:val="14"/>
                <w:b w:val="1"/>
                <w:bCs w:val="1"/>
                <w:color w:val="auto"/>
              </w:rPr>
              <w:t>Identification Number)</w:t>
            </w:r>
          </w:p>
        </w:tc>
      </w:tr>
      <w:tr>
        <w:trPr>
          <w:trHeight w:val="280"/>
        </w:trPr>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550 West Van Buren Street</w:t>
            </w:r>
          </w:p>
        </w:tc>
        <w:tc>
          <w:tcPr>
            <w:tcW w:w="392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Chicago, Illinois</w:t>
            </w:r>
          </w:p>
        </w:tc>
        <w:tc>
          <w:tcPr>
            <w:tcW w:w="3920" w:type="dxa"/>
            <w:vAlign w:val="bottom"/>
          </w:tcPr>
          <w:p>
            <w:pPr>
              <w:spacing w:after="0"/>
              <w:rPr>
                <w:sz w:val="18"/>
                <w:szCs w:val="18"/>
                <w:color w:val="auto"/>
              </w:rPr>
            </w:pPr>
          </w:p>
        </w:tc>
      </w:tr>
      <w:tr>
        <w:trPr>
          <w:trHeight w:val="226"/>
        </w:trPr>
        <w:tc>
          <w:tcPr>
            <w:tcW w:w="3780" w:type="dxa"/>
            <w:vAlign w:val="bottom"/>
          </w:tcPr>
          <w:p>
            <w:pPr>
              <w:spacing w:after="0"/>
              <w:rPr>
                <w:sz w:val="19"/>
                <w:szCs w:val="19"/>
                <w:color w:val="auto"/>
              </w:rPr>
            </w:pPr>
          </w:p>
        </w:tc>
        <w:tc>
          <w:tcPr>
            <w:tcW w:w="2860" w:type="dxa"/>
            <w:vAlign w:val="bottom"/>
            <w:gridSpan w:val="3"/>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75"/>
        </w:trPr>
        <w:tc>
          <w:tcPr>
            <w:tcW w:w="3780" w:type="dxa"/>
            <w:vAlign w:val="bottom"/>
          </w:tcPr>
          <w:p>
            <w:pPr>
              <w:spacing w:after="0"/>
              <w:rPr>
                <w:sz w:val="15"/>
                <w:szCs w:val="15"/>
                <w:color w:val="auto"/>
              </w:rPr>
            </w:pPr>
          </w:p>
        </w:tc>
        <w:tc>
          <w:tcPr>
            <w:tcW w:w="3240" w:type="dxa"/>
            <w:vAlign w:val="bottom"/>
            <w:gridSpan w:val="5"/>
          </w:tcPr>
          <w:p>
            <w:pPr>
              <w:jc w:val="center"/>
              <w:ind w:left="359"/>
              <w:spacing w:after="0"/>
              <w:rPr>
                <w:sz w:val="20"/>
                <w:szCs w:val="20"/>
                <w:color w:val="auto"/>
              </w:rPr>
            </w:pPr>
            <w:r>
              <w:rPr>
                <w:rFonts w:ascii="Arial" w:cs="Arial" w:eastAsia="Arial" w:hAnsi="Arial"/>
                <w:sz w:val="14"/>
                <w:szCs w:val="14"/>
                <w:b w:val="1"/>
                <w:bCs w:val="1"/>
                <w:color w:val="auto"/>
              </w:rPr>
              <w:t>(Address of principal executive offices)</w:t>
            </w:r>
          </w:p>
        </w:tc>
        <w:tc>
          <w:tcPr>
            <w:tcW w:w="3920" w:type="dxa"/>
            <w:vAlign w:val="bottom"/>
          </w:tcPr>
          <w:p>
            <w:pPr>
              <w:spacing w:after="0"/>
              <w:rPr>
                <w:sz w:val="15"/>
                <w:szCs w:val="15"/>
                <w:color w:val="auto"/>
              </w:rPr>
            </w:pPr>
          </w:p>
        </w:tc>
      </w:tr>
      <w:tr>
        <w:trPr>
          <w:trHeight w:val="196"/>
        </w:trPr>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(Zip Code)</w:t>
            </w:r>
          </w:p>
        </w:tc>
        <w:tc>
          <w:tcPr>
            <w:tcW w:w="3920" w:type="dxa"/>
            <w:vAlign w:val="bottom"/>
          </w:tcPr>
          <w:p>
            <w:pPr>
              <w:spacing w:after="0"/>
              <w:rPr>
                <w:sz w:val="17"/>
                <w:szCs w:val="17"/>
                <w:color w:val="auto"/>
              </w:rPr>
            </w:pPr>
          </w:p>
        </w:tc>
      </w:tr>
      <w:tr>
        <w:trPr>
          <w:trHeight w:val="303"/>
        </w:trPr>
        <w:tc>
          <w:tcPr>
            <w:tcW w:w="3780" w:type="dxa"/>
            <w:vAlign w:val="bottom"/>
          </w:tcPr>
          <w:p>
            <w:pPr>
              <w:spacing w:after="0"/>
              <w:rPr>
                <w:sz w:val="24"/>
                <w:szCs w:val="24"/>
                <w:color w:val="auto"/>
              </w:rPr>
            </w:pPr>
          </w:p>
        </w:tc>
        <w:tc>
          <w:tcPr>
            <w:tcW w:w="2860" w:type="dxa"/>
            <w:vAlign w:val="bottom"/>
            <w:gridSpan w:val="3"/>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96"/>
        </w:trPr>
        <w:tc>
          <w:tcPr>
            <w:tcW w:w="3780" w:type="dxa"/>
            <w:vAlign w:val="bottom"/>
          </w:tcPr>
          <w:p>
            <w:pPr>
              <w:spacing w:after="0"/>
              <w:rPr>
                <w:sz w:val="17"/>
                <w:szCs w:val="17"/>
                <w:color w:val="auto"/>
              </w:rPr>
            </w:pPr>
          </w:p>
        </w:tc>
        <w:tc>
          <w:tcPr>
            <w:tcW w:w="7160" w:type="dxa"/>
            <w:vAlign w:val="bottom"/>
            <w:gridSpan w:val="6"/>
          </w:tcPr>
          <w:p>
            <w:pPr>
              <w:jc w:val="center"/>
              <w:ind w:right="339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50"/>
        </w:trPr>
        <w:tc>
          <w:tcPr>
            <w:tcW w:w="43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90"/>
        </w:trPr>
        <w:tc>
          <w:tcPr>
            <w:tcW w:w="7020" w:type="dxa"/>
            <w:vAlign w:val="bottom"/>
            <w:gridSpan w:val="6"/>
          </w:tcPr>
          <w:p>
            <w:pPr>
              <w:jc w:val="center"/>
              <w:ind w:right="2680"/>
              <w:spacing w:after="0"/>
              <w:rPr>
                <w:sz w:val="20"/>
                <w:szCs w:val="20"/>
                <w:color w:val="auto"/>
              </w:rPr>
            </w:pPr>
            <w:r>
              <w:rPr>
                <w:rFonts w:ascii="Arial" w:cs="Arial" w:eastAsia="Arial" w:hAnsi="Arial"/>
                <w:sz w:val="17"/>
                <w:szCs w:val="17"/>
                <w:color w:val="auto"/>
              </w:rPr>
              <w:t>Securities registered pursuant to Section 12(b) of the Act:</w:t>
            </w:r>
          </w:p>
        </w:tc>
        <w:tc>
          <w:tcPr>
            <w:tcW w:w="3920" w:type="dxa"/>
            <w:vAlign w:val="bottom"/>
          </w:tcPr>
          <w:p>
            <w:pPr>
              <w:spacing w:after="0"/>
              <w:rPr>
                <w:sz w:val="24"/>
                <w:szCs w:val="24"/>
                <w:color w:val="auto"/>
              </w:rPr>
            </w:pPr>
          </w:p>
        </w:tc>
      </w:tr>
      <w:tr>
        <w:trPr>
          <w:trHeight w:val="108"/>
        </w:trPr>
        <w:tc>
          <w:tcPr>
            <w:tcW w:w="37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223"/>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b w:val="1"/>
                <w:bCs w:val="1"/>
                <w:color w:val="auto"/>
              </w:rPr>
              <w:t>Title of each class</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9"/>
              </w:rPr>
              <w:t>Trading Symbol(s)</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21"/>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color w:val="auto"/>
              </w:rPr>
              <w:t>Common Stock, par value $0.01 per share</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7"/>
                <w:szCs w:val="17"/>
                <w:color w:val="auto"/>
              </w:rPr>
              <w:t>HURN</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7"/>
                <w:szCs w:val="17"/>
                <w:color w:val="auto"/>
              </w:rPr>
              <w:t>NASDAQ Global Select Market</w:t>
            </w:r>
          </w:p>
        </w:tc>
      </w:tr>
    </w:tbl>
    <w:p>
      <w:pPr>
        <w:spacing w:after="0" w:line="72" w:lineRule="exact"/>
        <w:rPr>
          <w:sz w:val="24"/>
          <w:szCs w:val="24"/>
          <w:color w:val="auto"/>
        </w:rPr>
      </w:pPr>
    </w:p>
    <w:p>
      <w:pPr>
        <w:jc w:val="both"/>
        <w:ind w:right="300"/>
        <w:spacing w:after="0" w:line="22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right="8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5"/>
        </w:trPr>
        <w:tc>
          <w:tcPr>
            <w:tcW w:w="23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right="8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320"/>
        <w:spacing w:after="0" w:line="26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59" w:lineRule="exact"/>
        <w:rPr>
          <w:sz w:val="24"/>
          <w:szCs w:val="24"/>
          <w:color w:val="auto"/>
        </w:rPr>
      </w:pPr>
    </w:p>
    <w:p>
      <w:pPr>
        <w:spacing w:after="0"/>
        <w:rPr>
          <w:sz w:val="20"/>
          <w:szCs w:val="20"/>
          <w:color w:val="auto"/>
        </w:rPr>
      </w:pPr>
      <w:r>
        <w:rPr>
          <w:rFonts w:ascii="Arial" w:cs="Arial" w:eastAsia="Arial" w:hAnsi="Arial"/>
          <w:sz w:val="17"/>
          <w:szCs w:val="17"/>
          <w:color w:val="auto"/>
        </w:rPr>
        <w:t>As of July 23, 2024, 17,791,109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17780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9820" w:type="dxa"/>
            <w:vAlign w:val="bottom"/>
            <w:gridSpan w:val="2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Consolidated Financial Statements (Unaudited)</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9"/>
              </w:rPr>
              <w:t>Consolidated Balance Sheets</w:t>
            </w:r>
          </w:p>
        </w:tc>
        <w:tc>
          <w:tcPr>
            <w:tcW w:w="1400" w:type="dxa"/>
            <w:vAlign w:val="bottom"/>
            <w:tcBorders>
              <w:top w:val="single" w:sz="8" w:color="0000FF"/>
            </w:tcBorders>
            <w:gridSpan w:val="4"/>
          </w:tcPr>
          <w:p>
            <w:pPr>
              <w:spacing w:after="0"/>
              <w:rPr>
                <w:sz w:val="18"/>
                <w:szCs w:val="18"/>
                <w:color w:val="auto"/>
              </w:rPr>
            </w:pPr>
          </w:p>
        </w:tc>
        <w:tc>
          <w:tcPr>
            <w:tcW w:w="4820" w:type="dxa"/>
            <w:vAlign w:val="bottom"/>
            <w:gridSpan w:val="6"/>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w w:val="99"/>
              </w:rPr>
              <w:t>Consolidated Statements of Operations and Other Comprehensive Income</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10"/>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gridSpan w:val="3"/>
          </w:tcPr>
          <w:p>
            <w:pPr>
              <w:spacing w:after="0"/>
              <w:rPr>
                <w:sz w:val="18"/>
                <w:szCs w:val="18"/>
                <w:color w:val="auto"/>
              </w:rPr>
            </w:pPr>
          </w:p>
        </w:tc>
        <w:tc>
          <w:tcPr>
            <w:tcW w:w="4700" w:type="dxa"/>
            <w:vAlign w:val="bottom"/>
            <w:gridSpan w:val="5"/>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00" w:type="dxa"/>
            <w:vAlign w:val="bottom"/>
            <w:gridSpan w:val="11"/>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5080" w:type="dxa"/>
            <w:vAlign w:val="bottom"/>
            <w:gridSpan w:val="7"/>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880" w:type="dxa"/>
            <w:vAlign w:val="bottom"/>
            <w:gridSpan w:val="4"/>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9"/>
              </w:rPr>
              <w:t>Part II – Other Information</w:t>
            </w:r>
          </w:p>
        </w:tc>
        <w:tc>
          <w:tcPr>
            <w:tcW w:w="7600" w:type="dxa"/>
            <w:vAlign w:val="bottom"/>
            <w:gridSpan w:val="1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22"/>
                <w:szCs w:val="22"/>
                <w:color w:val="auto"/>
              </w:rPr>
            </w:pPr>
          </w:p>
        </w:tc>
        <w:tc>
          <w:tcPr>
            <w:tcW w:w="7100" w:type="dxa"/>
            <w:vAlign w:val="bottom"/>
            <w:gridSpan w:val="12"/>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740" w:type="dxa"/>
            <w:vAlign w:val="bottom"/>
            <w:gridSpan w:val="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040" w:type="dxa"/>
            <w:vAlign w:val="bottom"/>
            <w:gridSpan w:val="9"/>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22"/>
                <w:szCs w:val="22"/>
                <w:color w:val="auto"/>
              </w:rPr>
            </w:pPr>
          </w:p>
        </w:tc>
        <w:tc>
          <w:tcPr>
            <w:tcW w:w="6660" w:type="dxa"/>
            <w:vAlign w:val="bottom"/>
            <w:gridSpan w:val="11"/>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180" w:type="dxa"/>
            <w:vAlign w:val="bottom"/>
            <w:gridSpan w:val="1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6"/>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7"/>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00" w:type="dxa"/>
            <w:vAlign w:val="bottom"/>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HURON CONSULTING GROUP INC.</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tcPr>
          <w:p>
            <w:pPr>
              <w:spacing w:after="0"/>
              <w:rPr>
                <w:sz w:val="21"/>
                <w:szCs w:val="21"/>
                <w:color w:val="auto"/>
              </w:rPr>
            </w:pPr>
          </w:p>
        </w:tc>
        <w:tc>
          <w:tcPr>
            <w:tcW w:w="68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$12,425 and $17,284, respectively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162,566</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$2,709 and $5,984,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190,869</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28,491</w:t>
            </w:r>
          </w:p>
        </w:tc>
        <w:tc>
          <w:tcPr>
            <w:tcW w:w="0" w:type="dxa"/>
            <w:vAlign w:val="bottom"/>
          </w:tcPr>
          <w:p>
            <w:pPr>
              <w:spacing w:after="0"/>
              <w:rPr>
                <w:sz w:val="1"/>
                <w:szCs w:val="1"/>
                <w:color w:val="auto"/>
              </w:rPr>
            </w:pP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435,536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400,460</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23,728</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24,131</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92,336</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18,074</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625,711</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1,262,142</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33,087</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225,921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22,461</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302,575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496,550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324,000</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426,675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$0.01 par value; 500,000,000 shares authorized; 20,843,283 and 21,316,441 shares</w:t>
            </w:r>
          </w:p>
        </w:tc>
        <w:tc>
          <w:tcPr>
            <w:tcW w:w="2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issued, respectively</w:t>
            </w:r>
          </w:p>
        </w:tc>
        <w:tc>
          <w:tcPr>
            <w:tcW w:w="2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3,059,851 and 2,852,296 shares,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(142,136)</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236,962</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415,027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532,892</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1,262,142</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6"/>
                <w:szCs w:val="16"/>
                <w:color w:val="auto"/>
              </w:rPr>
            </w:pPr>
          </w:p>
        </w:tc>
        <w:tc>
          <w:tcPr>
            <w:tcW w:w="2380" w:type="dxa"/>
            <w:vAlign w:val="bottom"/>
            <w:gridSpan w:val="4"/>
          </w:tcPr>
          <w:p>
            <w:pPr>
              <w:jc w:val="right"/>
              <w:ind w:right="515"/>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5"/>
        </w:trPr>
        <w:tc>
          <w:tcPr>
            <w:tcW w:w="5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371,654</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346,759</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727,615</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664,654</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9,363</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8,140</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16,787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16,630</w:t>
            </w:r>
          </w:p>
        </w:tc>
        <w:tc>
          <w:tcPr>
            <w:tcW w:w="0" w:type="dxa"/>
            <w:vAlign w:val="bottom"/>
          </w:tcPr>
          <w:p>
            <w:pPr>
              <w:spacing w:after="0"/>
              <w:rPr>
                <w:sz w:val="1"/>
                <w:szCs w:val="1"/>
                <w:color w:val="auto"/>
              </w:rPr>
            </w:pPr>
          </w:p>
        </w:tc>
      </w:tr>
      <w:tr>
        <w:trPr>
          <w:trHeight w:val="221"/>
        </w:trPr>
        <w:tc>
          <w:tcPr>
            <w:tcW w:w="5440" w:type="dxa"/>
            <w:vAlign w:val="bottom"/>
          </w:tcPr>
          <w:p>
            <w:pPr>
              <w:ind w:left="340"/>
              <w:spacing w:after="0"/>
              <w:rPr>
                <w:sz w:val="20"/>
                <w:szCs w:val="20"/>
                <w:color w:val="auto"/>
              </w:rPr>
            </w:pPr>
            <w:r>
              <w:rPr>
                <w:rFonts w:ascii="Arial" w:cs="Arial" w:eastAsia="Arial" w:hAnsi="Arial"/>
                <w:sz w:val="17"/>
                <w:szCs w:val="17"/>
                <w:color w:val="auto"/>
              </w:rPr>
              <w:t>Total revenues and reimbursable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381,017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354,899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744,402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681,284</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5440" w:type="dxa"/>
            <w:vAlign w:val="bottom"/>
          </w:tcPr>
          <w:p>
            <w:pPr>
              <w:ind w:left="20"/>
              <w:spacing w:after="0" w:line="167" w:lineRule="exact"/>
              <w:rPr>
                <w:sz w:val="20"/>
                <w:szCs w:val="20"/>
                <w:color w:val="auto"/>
              </w:rPr>
            </w:pPr>
            <w:r>
              <w:rPr>
                <w:rFonts w:ascii="Arial" w:cs="Arial" w:eastAsia="Arial" w:hAnsi="Arial"/>
                <w:sz w:val="17"/>
                <w:szCs w:val="17"/>
                <w:color w:val="auto"/>
              </w:rPr>
              <w:t>Direct costs (exclusive of depreciation and amortization included</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248,605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235,198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501,908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463,581</w:t>
            </w:r>
          </w:p>
        </w:tc>
        <w:tc>
          <w:tcPr>
            <w:tcW w:w="0" w:type="dxa"/>
            <w:vAlign w:val="bottom"/>
          </w:tcPr>
          <w:p>
            <w:pPr>
              <w:spacing w:after="0"/>
              <w:rPr>
                <w:sz w:val="1"/>
                <w:szCs w:val="1"/>
                <w:color w:val="auto"/>
              </w:rPr>
            </w:pPr>
          </w:p>
        </w:tc>
      </w:tr>
      <w:tr>
        <w:trPr>
          <w:trHeight w:val="225"/>
        </w:trPr>
        <w:tc>
          <w:tcPr>
            <w:tcW w:w="5440" w:type="dxa"/>
            <w:vAlign w:val="bottom"/>
          </w:tcPr>
          <w:p>
            <w:pPr>
              <w:ind w:left="20"/>
              <w:spacing w:after="0"/>
              <w:rPr>
                <w:sz w:val="20"/>
                <w:szCs w:val="20"/>
                <w:color w:val="auto"/>
              </w:rPr>
            </w:pPr>
            <w:r>
              <w:rPr>
                <w:rFonts w:ascii="Arial" w:cs="Arial" w:eastAsia="Arial" w:hAnsi="Arial"/>
                <w:sz w:val="17"/>
                <w:szCs w:val="17"/>
                <w:color w:val="auto"/>
              </w:rPr>
              <w:t>below)</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16,745</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71,410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64,642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144,110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126,496</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gains, net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3,983</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6,033</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12,517</w:t>
            </w:r>
          </w:p>
        </w:tc>
        <w:tc>
          <w:tcPr>
            <w:tcW w:w="0" w:type="dxa"/>
            <w:vAlign w:val="bottom"/>
          </w:tcPr>
          <w:p>
            <w:pPr>
              <w:spacing w:after="0"/>
              <w:rPr>
                <w:sz w:val="1"/>
                <w:szCs w:val="1"/>
                <w:color w:val="auto"/>
              </w:rPr>
            </w:pPr>
          </w:p>
        </w:tc>
      </w:tr>
      <w:tr>
        <w:trPr>
          <w:trHeight w:val="221"/>
        </w:trPr>
        <w:tc>
          <w:tcPr>
            <w:tcW w:w="54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321,614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315,180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665,078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623,134</w:t>
            </w:r>
          </w:p>
        </w:tc>
        <w:tc>
          <w:tcPr>
            <w:tcW w:w="0" w:type="dxa"/>
            <w:vAlign w:val="bottom"/>
          </w:tcPr>
          <w:p>
            <w:pPr>
              <w:spacing w:after="0"/>
              <w:rPr>
                <w:sz w:val="1"/>
                <w:szCs w:val="1"/>
                <w:color w:val="auto"/>
              </w:rPr>
            </w:pPr>
          </w:p>
        </w:tc>
      </w:tr>
      <w:tr>
        <w:trPr>
          <w:trHeight w:val="225"/>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58,150</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(10,099)</w:t>
            </w:r>
          </w:p>
        </w:tc>
        <w:tc>
          <w:tcPr>
            <w:tcW w:w="0" w:type="dxa"/>
            <w:vAlign w:val="bottom"/>
          </w:tcPr>
          <w:p>
            <w:pPr>
              <w:spacing w:after="0"/>
              <w:rPr>
                <w:sz w:val="1"/>
                <w:szCs w:val="1"/>
                <w:color w:val="auto"/>
              </w:rPr>
            </w:pPr>
          </w:p>
        </w:tc>
      </w:tr>
      <w:tr>
        <w:trPr>
          <w:trHeight w:val="22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2,781</w:t>
            </w:r>
          </w:p>
        </w:tc>
        <w:tc>
          <w:tcPr>
            <w:tcW w:w="0" w:type="dxa"/>
            <w:vAlign w:val="bottom"/>
          </w:tcPr>
          <w:p>
            <w:pPr>
              <w:spacing w:after="0"/>
              <w:rPr>
                <w:sz w:val="1"/>
                <w:szCs w:val="1"/>
                <w:color w:val="auto"/>
              </w:rPr>
            </w:pPr>
          </w:p>
        </w:tc>
      </w:tr>
      <w:tr>
        <w:trPr>
          <w:trHeight w:val="225"/>
        </w:trPr>
        <w:tc>
          <w:tcPr>
            <w:tcW w:w="5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(7,318)</w:t>
            </w:r>
          </w:p>
        </w:tc>
        <w:tc>
          <w:tcPr>
            <w:tcW w:w="0" w:type="dxa"/>
            <w:vAlign w:val="bottom"/>
          </w:tcPr>
          <w:p>
            <w:pPr>
              <w:spacing w:after="0"/>
              <w:rPr>
                <w:sz w:val="1"/>
                <w:szCs w:val="1"/>
                <w:color w:val="auto"/>
              </w:rPr>
            </w:pPr>
          </w:p>
        </w:tc>
      </w:tr>
      <w:tr>
        <w:trPr>
          <w:trHeight w:val="221"/>
        </w:trPr>
        <w:tc>
          <w:tcPr>
            <w:tcW w:w="5440" w:type="dxa"/>
            <w:vAlign w:val="bottom"/>
          </w:tcPr>
          <w:p>
            <w:pPr>
              <w:ind w:left="20"/>
              <w:spacing w:after="0"/>
              <w:rPr>
                <w:sz w:val="20"/>
                <w:szCs w:val="20"/>
                <w:color w:val="auto"/>
              </w:rPr>
            </w:pPr>
            <w:r>
              <w:rPr>
                <w:rFonts w:ascii="Arial" w:cs="Arial" w:eastAsia="Arial" w:hAnsi="Arial"/>
                <w:sz w:val="17"/>
                <w:szCs w:val="17"/>
                <w:color w:val="auto"/>
              </w:rPr>
              <w:t>Income before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52,095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34,985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69,655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50,832</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14,613</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12,701</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37,482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24,712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55,488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38,131</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7"/>
                <w:szCs w:val="17"/>
                <w:color w:val="auto"/>
              </w:rPr>
              <w:t>Net income per basic share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diluted share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7"/>
                <w:szCs w:val="17"/>
                <w:color w:val="auto"/>
              </w:rPr>
              <w:t>Weighted average shares used in calculating earnings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19,029</w:t>
            </w:r>
          </w:p>
        </w:tc>
        <w:tc>
          <w:tcPr>
            <w:tcW w:w="0" w:type="dxa"/>
            <w:vAlign w:val="bottom"/>
          </w:tcPr>
          <w:p>
            <w:pPr>
              <w:spacing w:after="0"/>
              <w:rPr>
                <w:sz w:val="1"/>
                <w:szCs w:val="1"/>
                <w:color w:val="auto"/>
              </w:rPr>
            </w:pPr>
          </w:p>
        </w:tc>
      </w:tr>
      <w:tr>
        <w:trPr>
          <w:trHeight w:val="227"/>
        </w:trPr>
        <w:tc>
          <w:tcPr>
            <w:tcW w:w="5440" w:type="dxa"/>
            <w:vAlign w:val="bottom"/>
          </w:tcPr>
          <w:p>
            <w:pPr>
              <w:ind w:left="340"/>
              <w:spacing w:after="0"/>
              <w:rPr>
                <w:sz w:val="20"/>
                <w:szCs w:val="20"/>
                <w:color w:val="auto"/>
              </w:rPr>
            </w:pPr>
            <w:r>
              <w:rPr>
                <w:rFonts w:ascii="Arial" w:cs="Arial" w:eastAsia="Arial" w:hAnsi="Arial"/>
                <w:sz w:val="17"/>
                <w:szCs w:val="17"/>
                <w:color w:val="auto"/>
              </w:rPr>
              <w:t>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18,454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18,741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19,598</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37,482</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24,712</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55,488</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38,131</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7"/>
                <w:szCs w:val="17"/>
                <w:color w:val="auto"/>
              </w:rPr>
              <w:t>Unrealized gain (loss) on investment, net of tax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4,426</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 on cash flow hedging instruments, net of tax</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21"/>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4,939</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43,070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12"/>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gridSpan w:val="9"/>
          </w:tcPr>
          <w:p>
            <w:pPr>
              <w:ind w:left="44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7"/>
          </w:tcPr>
          <w:p>
            <w:pPr>
              <w:ind w:left="4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60"/>
              <w:spacing w:after="0" w:line="122"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3"/>
            <w:vMerge w:val="restart"/>
          </w:tcPr>
          <w:p>
            <w:pPr>
              <w:jc w:val="right"/>
              <w:ind w:right="100"/>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4"/>
                <w:szCs w:val="4"/>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21,204,110</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(3,116,541)</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(159,605)</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200,235</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433,033</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21,731</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37,482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(7,726)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3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ind w:left="34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3,295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9,580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3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Other capital contributions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 repurchases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(376,493)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(34,368)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(34,372)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2024</w:t>
            </w:r>
          </w:p>
        </w:tc>
        <w:tc>
          <w:tcPr>
            <w:tcW w:w="900" w:type="dxa"/>
            <w:vAlign w:val="bottom"/>
          </w:tcPr>
          <w:p>
            <w:pPr>
              <w:jc w:val="right"/>
              <w:spacing w:after="0"/>
              <w:rPr>
                <w:sz w:val="20"/>
                <w:szCs w:val="20"/>
                <w:color w:val="auto"/>
              </w:rPr>
            </w:pPr>
            <w:r>
              <w:rPr>
                <w:rFonts w:ascii="Arial" w:cs="Arial" w:eastAsia="Arial" w:hAnsi="Arial"/>
                <w:sz w:val="14"/>
                <w:szCs w:val="14"/>
                <w:color w:val="auto"/>
              </w:rPr>
              <w:t>20,834,133</w:t>
            </w:r>
          </w:p>
        </w:tc>
        <w:tc>
          <w:tcPr>
            <w:tcW w:w="2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(3,114,873)</w:t>
            </w:r>
          </w:p>
        </w:tc>
        <w:tc>
          <w:tcPr>
            <w:tcW w:w="4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(159,537)</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175,387</w:t>
            </w: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470,515</w:t>
            </w:r>
          </w:p>
        </w:tc>
        <w:tc>
          <w:tcPr>
            <w:tcW w:w="4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14,005</w:t>
            </w:r>
          </w:p>
        </w:tc>
        <w:tc>
          <w:tcPr>
            <w:tcW w:w="40" w:type="dxa"/>
            <w:vAlign w:val="bottom"/>
          </w:tcPr>
          <w:p>
            <w:pPr>
              <w:spacing w:after="0"/>
              <w:rPr>
                <w:sz w:val="16"/>
                <w:szCs w:val="16"/>
                <w:color w:val="auto"/>
              </w:rPr>
            </w:pPr>
          </w:p>
        </w:tc>
        <w:tc>
          <w:tcPr>
            <w:tcW w:w="32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500,578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0" w:type="dxa"/>
            <w:vAlign w:val="bottom"/>
          </w:tcPr>
          <w:p>
            <w:pPr>
              <w:spacing w:after="0"/>
              <w:rPr>
                <w:sz w:val="6"/>
                <w:szCs w:val="6"/>
                <w:color w:val="auto"/>
              </w:rPr>
            </w:pPr>
          </w:p>
        </w:tc>
        <w:tc>
          <w:tcPr>
            <w:tcW w:w="22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2023</w:t>
            </w:r>
          </w:p>
        </w:tc>
        <w:tc>
          <w:tcPr>
            <w:tcW w:w="900" w:type="dxa"/>
            <w:vAlign w:val="bottom"/>
          </w:tcPr>
          <w:p>
            <w:pPr>
              <w:jc w:val="right"/>
              <w:spacing w:after="0"/>
              <w:rPr>
                <w:sz w:val="20"/>
                <w:szCs w:val="20"/>
                <w:color w:val="auto"/>
              </w:rPr>
            </w:pPr>
            <w:r>
              <w:rPr>
                <w:rFonts w:ascii="Arial" w:cs="Arial" w:eastAsia="Arial" w:hAnsi="Arial"/>
                <w:sz w:val="14"/>
                <w:szCs w:val="14"/>
                <w:color w:val="auto"/>
              </w:rPr>
              <w:t>21,910,425</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(2,970,118)</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(141,353)</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284,420</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365,967</w:t>
            </w:r>
          </w:p>
        </w:tc>
        <w:tc>
          <w:tcPr>
            <w:tcW w:w="4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19,715</w:t>
            </w:r>
          </w:p>
        </w:tc>
        <w:tc>
          <w:tcPr>
            <w:tcW w:w="40" w:type="dxa"/>
            <w:vAlign w:val="bottom"/>
          </w:tcPr>
          <w:p>
            <w:pPr>
              <w:spacing w:after="0"/>
              <w:rPr>
                <w:sz w:val="17"/>
                <w:szCs w:val="17"/>
                <w:color w:val="auto"/>
              </w:rPr>
            </w:pPr>
          </w:p>
        </w:tc>
        <w:tc>
          <w:tcPr>
            <w:tcW w:w="32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528,969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24,712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connection with:</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shd w:val="clear" w:color="auto" w:fill="CCEEFF"/>
          </w:tcPr>
          <w:p>
            <w:pPr>
              <w:ind w:left="34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(145)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4"/>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7,464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spacing w:after="0" w:line="153" w:lineRule="exact"/>
              <w:rPr>
                <w:sz w:val="20"/>
                <w:szCs w:val="20"/>
                <w:color w:val="auto"/>
              </w:rPr>
            </w:pPr>
            <w:r>
              <w:rPr>
                <w:rFonts w:ascii="Arial" w:cs="Arial" w:eastAsia="Arial" w:hAnsi="Arial"/>
                <w:sz w:val="14"/>
                <w:szCs w:val="14"/>
                <w:color w:val="auto"/>
              </w:rPr>
              <w:t>Shares redeemed for employee tax</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(2,464)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withholdings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 repurchases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(193,648)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(15,371)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(15,373)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21,732,924</w:t>
            </w:r>
          </w:p>
        </w:tc>
        <w:tc>
          <w:tcPr>
            <w:tcW w:w="2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(2,969,196)</w:t>
            </w:r>
          </w:p>
        </w:tc>
        <w:tc>
          <w:tcPr>
            <w:tcW w:w="4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(141,407)</w:t>
            </w:r>
          </w:p>
        </w:tc>
        <w:tc>
          <w:tcPr>
            <w:tcW w:w="4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279,070</w:t>
            </w:r>
          </w:p>
        </w:tc>
        <w:tc>
          <w:tcPr>
            <w:tcW w:w="4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390,679</w:t>
            </w:r>
          </w:p>
        </w:tc>
        <w:tc>
          <w:tcPr>
            <w:tcW w:w="4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23,058</w:t>
            </w:r>
          </w:p>
        </w:tc>
        <w:tc>
          <w:tcPr>
            <w:tcW w:w="4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551,618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2"/>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gridSpan w:val="9"/>
          </w:tcPr>
          <w:p>
            <w:pPr>
              <w:ind w:left="42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7"/>
          </w:tcPr>
          <w:p>
            <w:pPr>
              <w:ind w:left="4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right"/>
              <w:ind w:right="280"/>
              <w:spacing w:after="0" w:line="122"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right"/>
              <w:ind w:right="200"/>
              <w:spacing w:after="0" w:line="122"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3"/>
            <w:vMerge w:val="restart"/>
          </w:tcPr>
          <w:p>
            <w:pPr>
              <w:jc w:val="right"/>
              <w:ind w:right="120"/>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4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4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Income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21,175,554</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(2,975,321)</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(142,136)</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236,962</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415,027</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22,827</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55,488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3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550,438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74,820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3,679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(3,684)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Purchase of business</w:t>
            </w:r>
          </w:p>
        </w:tc>
        <w:tc>
          <w:tcPr>
            <w:tcW w:w="900" w:type="dxa"/>
            <w:vAlign w:val="bottom"/>
          </w:tcPr>
          <w:p>
            <w:pPr>
              <w:jc w:val="right"/>
              <w:spacing w:after="0"/>
              <w:rPr>
                <w:sz w:val="20"/>
                <w:szCs w:val="20"/>
                <w:color w:val="auto"/>
              </w:rPr>
            </w:pPr>
            <w:r>
              <w:rPr>
                <w:rFonts w:ascii="Arial" w:cs="Arial" w:eastAsia="Arial" w:hAnsi="Arial"/>
                <w:sz w:val="14"/>
                <w:szCs w:val="14"/>
                <w:color w:val="auto"/>
              </w:rPr>
              <w:t>86,913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8,639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Shares redeemed for employee tax</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(214,372)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(21,080)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(21,080)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capital contributions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 repurchases</w:t>
            </w: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(1,001,191)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(96,675)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20,834,133</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(3,114,873)</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(159,537)</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175,387</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470,515</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14,005</w:t>
            </w: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22,231,593</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(2,953,147)</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(137,556)</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318,706</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352,548</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18,119</w:t>
            </w: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552,040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38,131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4,939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43,070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306,264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121,835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5,877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(5,880)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24,895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24,895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6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(137,884)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(826,542)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21,732,924</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(2,969,196)</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(141,407)</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279,070</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390,679</w:t>
            </w:r>
          </w:p>
        </w:tc>
        <w:tc>
          <w:tcPr>
            <w:tcW w:w="40" w:type="dxa"/>
            <w:vAlign w:val="bottom"/>
          </w:tcPr>
          <w:p>
            <w:pPr>
              <w:spacing w:after="0"/>
              <w:rPr>
                <w:sz w:val="17"/>
                <w:szCs w:val="17"/>
                <w:color w:val="auto"/>
              </w:rPr>
            </w:pPr>
          </w:p>
        </w:tc>
        <w:tc>
          <w:tcPr>
            <w:tcW w:w="2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23,058</w:t>
            </w:r>
          </w:p>
        </w:tc>
        <w:tc>
          <w:tcPr>
            <w:tcW w:w="40" w:type="dxa"/>
            <w:vAlign w:val="bottom"/>
          </w:tcPr>
          <w:p>
            <w:pPr>
              <w:spacing w:after="0"/>
              <w:rPr>
                <w:sz w:val="17"/>
                <w:szCs w:val="17"/>
                <w:color w:val="auto"/>
              </w:rPr>
            </w:pPr>
          </w:p>
        </w:tc>
        <w:tc>
          <w:tcPr>
            <w:tcW w:w="32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551,618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Six Months Ended</w:t>
      </w: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55,488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38,131</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12,549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Lease-related impairment charges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23,151</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Allowances for doubtful accounts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sale of property and equipment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(32,567)</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(6,141)</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other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(44,277)</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(13,880)</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Investments in life insurance policies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life insurance policies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Purchases of businesses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(12,998)</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note receivable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(15,763)</w:t>
            </w:r>
          </w:p>
        </w:tc>
        <w:tc>
          <w:tcPr>
            <w:tcW w:w="0" w:type="dxa"/>
            <w:vAlign w:val="bottom"/>
          </w:tcPr>
          <w:p>
            <w:pPr>
              <w:spacing w:after="0"/>
              <w:rPr>
                <w:sz w:val="1"/>
                <w:szCs w:val="1"/>
                <w:color w:val="auto"/>
              </w:rPr>
            </w:pP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(60,368)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Repayments of bank borrowings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(430,938)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debt issuance costs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payments on business acquisition</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34,333</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11,834</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Property and equipment expenditures and capitalized software included in 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4,827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4,437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Common stock issued related to purchase of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8,640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 accrued related to purchases of businesses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Excise tax on net share repurchases included in current and non-current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Huron is a global professional services firm that partners with clients to develop growth strategies, optimize operations and accelerate digital transformation, including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provide our services and products and manage our business under three operating segments: Healthcare, Education, and Commercial, which align our business by industry. The Commercial segment includes all industries outside of healthcare and education, including, but not limited to, financial services and energy and utilities. We also provide revenue reporting across two principal capabilities: i) Consulting and Managed Services and ii) Digital, which are methods by which we deliver our services and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See Note 14 “Segment Information” for more information on each of our segments and their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and six months ended June 30, 2024 and 2023.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2023 and our Quarterly Report on Form 10-Q for the period ended March 31, 2024. Our results for any interim period are not necessarily indicative of results for a full year or any other interim period.</w:t>
      </w:r>
    </w:p>
    <w:p>
      <w:pPr>
        <w:spacing w:after="0" w:line="13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the second quarter of 2024, we revised the presentation of our consolidated statement of operations and other comprehensive income (loss) to separately present other gains, net previously presented within selling, general and administrative expenses. The change in presentation has no effect on our consolidated results, and our historical consolidated statements of operations and other comprehensive income (loss) were revised for consistent presentation.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On November 27, 2023, the Financial Accounting Standards Board (“FASB”) issued Accounting Standards Update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updates the segment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enhanced disclosures about significant segment expenses on an interim and annual basis. ASU 2023-07 will be effective for our annual reporting periods beginning with the current fiscal year ending December 31, 2024 and for interim reporting periods beginning in fiscal year 2025, with early adoption permitted, and is required to be applied retrospectively. We expect to adopt ASU 2023-07 for our annual reporting period ending December 31, 2024 on a retrospective basis. We expect the adoption will have no impact on our financial position or our results of operations, but will result in additional disclosures.</w:t>
      </w:r>
    </w:p>
    <w:p>
      <w:pPr>
        <w:spacing w:after="0" w:line="1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On December 14,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updates annual income tax disclosures by requiring disclosure of specific categories in the rate reconciliation, as well as disclosure of income taxes paid disaggregated by jurisdiction. ASU 2023-09 will be effective for our annual reporting periods beginning with the fiscal year ending December 31, 2025, with early adoption permitted, and is required to be applied prospectively with the option of retrospective application. We expect the adoption will have no impact on our financial position or our results of operations, but will result in additional disclosures.</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March 6, 2024, the SEC adopted the final rule under SEC Release No. 33-11275, </w:t>
      </w:r>
      <w:r>
        <w:rPr>
          <w:rFonts w:ascii="Arial" w:cs="Arial" w:eastAsia="Arial" w:hAnsi="Arial"/>
          <w:sz w:val="18"/>
          <w:szCs w:val="18"/>
          <w:i w:val="1"/>
          <w:iCs w:val="1"/>
          <w:color w:val="auto"/>
        </w:rPr>
        <w:t>The Enhancement and Standardization of Climate-Related Disclosures for Investors</w:t>
      </w:r>
      <w:r>
        <w:rPr>
          <w:rFonts w:ascii="Arial" w:cs="Arial" w:eastAsia="Arial" w:hAnsi="Arial"/>
          <w:sz w:val="18"/>
          <w:szCs w:val="18"/>
          <w:color w:val="auto"/>
        </w:rPr>
        <w:t>, which will require registrants to disclose certain climate-related information in registration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reports. The disclosure requirements will be effective for our annual reporting periods beginning with the fiscal year ending December 31, 2025, subject to any delay which may result from the current administrative stay issued by the SEC. We expect the adoption will have no impact on our financial position or our results of operations, but we are currently evaluating the impact this guidance will have on our disclosures within our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value of goodwill by reportable segment for the six months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3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644,983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123,652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312,968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1,081,603</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(455,892)</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625,711</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recorded in connection with business acquisitions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June 30, 2024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647,451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Acquisitions</w:t>
      </w:r>
    </w:p>
    <w:p>
      <w:pPr>
        <w:spacing w:after="0" w:line="16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January 1, 2024, we completed the acquisition of the data analytics services team of Vlamis Software Solutions, Inc. (“Vlamis”). The results of operations of Vlamis are included within our consolidated financial statements as of the acquisition date and allocated among our Education and Commercial segments based on the engagements delivered by the business.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March 1, 2024, we completed the acquisition of Grenzebach Glier and Associates, Inc. (“GG+A”), a philanthropic management consulting firm that helps education institutions and other nonprofit organizations build and accelerate the philanthropic programs that support their mission. The results of operations of GG+A are included within our consolidated financial statements and results of operations of our Education segment as of the acquisition date.</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acquisitions of Vlamis and GG+A are not significant to our consolidated financial statements individually or in the aggregate as of and for the three and six months ended June 30, 2024. These acquisitions were accounted for using the acquisition method of accounting. Contract assets and contract liabilities are recorded at their carrying value under Topic 606: Revenue from Contracts with Customers. We finalized the measurement of assets acquired, including goodwill, and liabilities assumed in the acquisitions of Vlamis and GG+A in the first and second quarters of 2024,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2024 and December 31, 2023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June 30, 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2023</w:t>
            </w: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 to 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48,928</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2 to 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3 to 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1 to 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65,512</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Identifiable intangible assets with finite lives are amortized over their estimated useful lives using either an accelerated or straight-line basis to correspond to the cash flows expected to be derived from the assets.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Intangible asset amortization expense was $1.6 million and $2.0 million for the three months ended June 30, 2024 and 2023, respectively; and $3.3 million and $4.2 million for the six months ended June 30, 2024 and 2023, respectively. The table below sets forth the estimated annual amortization expense for the intangible assets recorded as of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7"/>
                <w:szCs w:val="17"/>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43"/>
        </w:trPr>
        <w:tc>
          <w:tcPr>
            <w:tcW w:w="8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three months ended June 30, 2024 and 2023, we recognized revenues of $371.7 million and $346.8 million, respectively. Of the $371.7 million recognized in the second quarter of 2024, we recognized revenues of $18.2 million from obligations satisfied, or partially satisfied, in prior periods, of which $13.2 million was due to changes in the estimates of our variable consideration under performance-based billing arrangements and $5.0 million was due to the release of allowances on receivables from clients and unbilled services. Of the $346.8 million recognized in the second quarter of 2023, we recognized revenues of $14.8 million from obligations satisfied, or partially satisfied, in prior periods, of which $ 12.6 million was due to changes in the estimates of our variable consideration under performance-based billing arrangements and $2.2 million was due to the release of allowances on receivables from clients and unbilled services.</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six months ended June 30, 2024 and 2023, we recognized revenues of $727.6 million and $664.7 million, respectively. Of the $727.6 million recognized in the first six months of 2024, we recognized revenues of $20.5 million from obligations satisfied, or partially satisfied, in prior periods, of which $17.2 million was due to changes in the estimates of our variable consideration under performance-based billing arrangements and $3.3 million was due to the release of allowances on receivables from clients and unbilled services. Of the $664.7 million recognized in the first six months of 2023, we recognized revenues of $ 6.3 million from obligations satisfied, or partially satisfied, in prior periods, of which $5.0 million was due to changes in the estimates of our variable consideration under performance-based billing arrangements and $1.3 million was due to the release of allowances on receivables from clients and unbilled services.</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June 30, 2024, we had $216.5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$216.5 million of performance obligations, we expect to recognize $46.9 million as revenue in 2024, $65.7 million in 2025, and the remaining $103.9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June 30, 2024 and December 31, 2023 was $75.7 million and $70.1 million, respectively. The $5.6 million million increase primarily reflects timing differences between the completion of our performance obligations and the amounts billed or billable to clients in accordance with their contractual billing terms.</w:t>
      </w:r>
    </w:p>
    <w:p>
      <w:pPr>
        <w:spacing w:after="0" w:line="12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accounting policy. Our deferred revenues balance as of June 30, 2024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December 31, 2023 was $28.6 million and $22.5 million, respectively. The $ 6.1 million increase reflects timing differences between client payments in accordance with their contract terms and the completion of our performance obligations. For the three and six months ended June 30, 2024, $4.2 million and $19.6 million of revenues recognized were included in the deferred revenue balance as of December 31, 2023,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under the basic and diluted computations are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38,131</w:t>
            </w:r>
          </w:p>
        </w:tc>
      </w:tr>
      <w:tr>
        <w:trPr>
          <w:trHeight w:val="216"/>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19,029</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9"/>
        </w:trPr>
        <w:tc>
          <w:tcPr>
            <w:tcW w:w="518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r>
    </w:tbl>
    <w:p>
      <w:pPr>
        <w:spacing w:after="0" w:line="134"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for the three and six months ended June 30, 2024 were 0.1 million and less than 0.1 million shares, respectively; and for the three and six months ended June 30, 2023 were both less than 0.1 million shares.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2021.The share repurchase program has been subsequently extended and increased, most recently in the second quarter of 2024. The current authorization extends the share repurchase program through December 31, 2025 with a repurchase amount of $500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June 30, 2024, we repurchased and retired 376,493 and 1,001,191 shares for $34.4 million and</w:t>
      </w:r>
    </w:p>
    <w:p>
      <w:pPr>
        <w:spacing w:after="0" w:line="27"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$96.7 million, respectively, which includes a $0.3 million and $0.4 million accrual for excise taxes on the net share repurchases, respectively. Additionally, in the first quarter of 2024, we settled the repurchase of 10,000 shares for $1.0 million which were accrued as of December 31,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June 30, 2023, we repurchased and retired 193,648 and 826,542 shares for $15.4 million and</w:t>
      </w:r>
    </w:p>
    <w:p>
      <w:pPr>
        <w:spacing w:after="0" w:line="27"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$59.6 million, respectively, which includes a $0.1 million and $0.4 million accrual for excise taxes on the net share repurchases, respectively. Additionally, in the first quarter of 2023, we settled the repurchase of 15,200 shares for $1.1 million which were accrued as of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$89.9 million remained available for share repurchases under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was established in February 2024 with the execution of Amendment No. 2 to the Third Amended and Restated Credit Agreement. The Term Loan is subject to scheduled quarterly amortization payments of $3.4 million beginning June 30, 2024 through the maturity date of November 15, 2027, at which time the outstanding principal balance and all accrued interest will be due.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we had total borrowings outstanding under our Amended Credit Agreement of $511.6 million, consisting of</w:t>
      </w:r>
    </w:p>
    <w:p>
      <w:pPr>
        <w:spacing w:after="0" w:line="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$240.0 million outstanding under the Revolver and $271.6 million outstanding under the Term Loan. A summary of the scheduled maturities of those borrowings follows:</w:t>
      </w:r>
    </w:p>
    <w:tbl>
      <w:tblPr>
        <w:tblLayout w:type="fixed"/>
        <w:tblInd w:w="0" w:type="dxa"/>
        <w:tblCellMar>
          <w:top w:w="0" w:type="dxa"/>
          <w:left w:w="0" w:type="dxa"/>
          <w:bottom w:w="0" w:type="dxa"/>
          <w:right w:w="0" w:type="dxa"/>
        </w:tblCellMar>
      </w:tblPr>
      <w:tr>
        <w:trPr>
          <w:trHeight w:val="182"/>
        </w:trPr>
        <w:tc>
          <w:tcPr>
            <w:tcW w:w="8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Scheduled Maturities of</w:t>
            </w:r>
          </w:p>
        </w:tc>
      </w:tr>
      <w:tr>
        <w:trPr>
          <w:trHeight w:val="243"/>
        </w:trPr>
        <w:tc>
          <w:tcPr>
            <w:tcW w:w="8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894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9"/>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r>
      <w:tr>
        <w:trPr>
          <w:trHeight w:val="230"/>
        </w:trPr>
        <w:tc>
          <w:tcPr>
            <w:tcW w:w="8940" w:type="dxa"/>
            <w:vAlign w:val="bottom"/>
          </w:tcPr>
          <w:p>
            <w:pPr>
              <w:jc w:val="right"/>
              <w:ind w:right="8430"/>
              <w:spacing w:after="0"/>
              <w:rPr>
                <w:sz w:val="20"/>
                <w:szCs w:val="20"/>
                <w:color w:val="auto"/>
              </w:rPr>
            </w:pPr>
            <w:r>
              <w:rPr>
                <w:rFonts w:ascii="Arial" w:cs="Arial" w:eastAsia="Arial" w:hAnsi="Arial"/>
                <w:sz w:val="18"/>
                <w:szCs w:val="18"/>
                <w:color w:val="auto"/>
                <w:w w:val="99"/>
              </w:rPr>
              <w:t>2025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13,750</w:t>
            </w:r>
          </w:p>
        </w:tc>
      </w:tr>
      <w:tr>
        <w:trPr>
          <w:trHeight w:val="229"/>
        </w:trPr>
        <w:tc>
          <w:tcPr>
            <w:tcW w:w="894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9"/>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r>
      <w:tr>
        <w:trPr>
          <w:trHeight w:val="239"/>
        </w:trPr>
        <w:tc>
          <w:tcPr>
            <w:tcW w:w="8940" w:type="dxa"/>
            <w:vAlign w:val="bottom"/>
          </w:tcPr>
          <w:p>
            <w:pPr>
              <w:jc w:val="right"/>
              <w:ind w:right="8430"/>
              <w:spacing w:after="0"/>
              <w:rPr>
                <w:sz w:val="20"/>
                <w:szCs w:val="20"/>
                <w:color w:val="auto"/>
              </w:rPr>
            </w:pPr>
            <w:r>
              <w:rPr>
                <w:rFonts w:ascii="Arial" w:cs="Arial" w:eastAsia="Arial" w:hAnsi="Arial"/>
                <w:sz w:val="18"/>
                <w:szCs w:val="18"/>
                <w:color w:val="auto"/>
                <w:w w:val="99"/>
              </w:rPr>
              <w:t>2027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477,187</w:t>
            </w:r>
          </w:p>
        </w:tc>
      </w:tr>
    </w:tbl>
    <w:p>
      <w:pPr>
        <w:spacing w:after="0" w:line="22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initial borrowings under the Revolver were used to refinance borrowings outstanding under a prior credit agreement, and future borrowings under the Revolver may be used for working capital, capital expenditures, share repurchases, permitted acquisitions, and other general corporate purposes. The proceeds of the Term Loan were used to reduce borrowings under the Revolver.</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Amended Credit Agreement provides the option to increase the revolving credit facility or establish additional term loan facilities in an aggregate amount up to $250 million, subject to customary conditions and the approval of any lender whose commitment would be increased, resulting in a maximum available principal amount under the Amended Credit Agreement of $1.13 billion.</w:t>
      </w:r>
    </w:p>
    <w:p>
      <w:pPr>
        <w:spacing w:after="0" w:line="117"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related to certain environmental, social and governance goals of the Company.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spacing w:after="0" w:line="1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2" w:lineRule="exact"/>
        <w:rPr>
          <w:sz w:val="20"/>
          <w:szCs w:val="20"/>
          <w:color w:val="auto"/>
        </w:rPr>
      </w:pPr>
    </w:p>
    <w:p>
      <w:pPr>
        <w:ind w:right="40" w:firstLine="8"/>
        <w:spacing w:after="0" w:line="252" w:lineRule="auto"/>
        <w:tabs>
          <w:tab w:leader="none" w:pos="21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2024, we were in compliance with these financial covenants with a Consolidated Leverage Ratio of 2.24 to 1.00 and a Consolidated Interest Coverage Ratio of 10.55 to 1.00.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8"/>
        </w:trPr>
        <w:tc>
          <w:tcPr>
            <w:tcW w:w="6500" w:type="dxa"/>
            <w:vAlign w:val="bottom"/>
          </w:tcPr>
          <w:p>
            <w:pPr>
              <w:spacing w:after="0"/>
              <w:rPr>
                <w:sz w:val="17"/>
                <w:szCs w:val="17"/>
                <w:color w:val="auto"/>
              </w:rPr>
            </w:pPr>
          </w:p>
        </w:tc>
        <w:tc>
          <w:tcPr>
            <w:tcW w:w="154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jc w:val="right"/>
              <w:ind w:right="49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5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324,000</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271,562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Unamortized debt issuance costs - Term Loan</w:t>
            </w:r>
            <w:r>
              <w:rPr>
                <w:rFonts w:ascii="Arial" w:cs="Arial" w:eastAsia="Arial" w:hAnsi="Arial"/>
                <w:sz w:val="23"/>
                <w:szCs w:val="23"/>
                <w:color w:val="auto"/>
                <w:vertAlign w:val="superscript"/>
              </w:rPr>
              <w:t>1</w:t>
            </w:r>
          </w:p>
        </w:tc>
        <w:tc>
          <w:tcPr>
            <w:tcW w:w="1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510,300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324,000</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1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Long-term debt, net of current portion</w:t>
            </w:r>
          </w:p>
        </w:tc>
        <w:tc>
          <w:tcPr>
            <w:tcW w:w="15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324,000</w:t>
            </w:r>
          </w:p>
        </w:tc>
      </w:tr>
      <w:tr>
        <w:trPr>
          <w:trHeight w:val="20"/>
        </w:trPr>
        <w:tc>
          <w:tcPr>
            <w:tcW w:w="6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right="100" w:hanging="652"/>
        <w:spacing w:after="0" w:line="262" w:lineRule="auto"/>
        <w:tabs>
          <w:tab w:leader="none" w:pos="691"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establishing the Term Loan, we incurred $1.4 million of debt issuance costs which were recognized as a discount to the Term Loan. These debt issuance costs are amortized to interest expense using an effective interest rate of 7.34% over the term of the Term Loan. Unamortized debt issuance costs related to the Revolver are included as a component of other non-current assets and amortized to interest expense using the straight-line method over the term of the Revolver.</w:t>
      </w:r>
    </w:p>
    <w:p>
      <w:pPr>
        <w:spacing w:after="0" w:line="12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Borrowings outstanding under the Amended Credit Agreement as of June 30, 2024 and December 31, 2023 carried a weighted average interest rate of 5.2% and 4.2%, respectively, including the effect of the interest rate swaps described in Note 9 “Derivative Instruments and Hedging Activity.”</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borrowing capacity under the Revolver is reduced by any outstanding borrowings under the Revolver and outstanding letters of credit. At June 30, 2024, we had outstanding letters of credit totaling $0.6 million, which are used as security deposits for our office facilities. As of June 30, 2024, the unused borrowing capacity under the Revolver was $359.4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Restructuring charges for the three and six months ended June 30, 2024 were $2.1 million and $4.4 million, respectively. In the second quarter of 2024, we exited the office space previously occupied by GG+A, which resulted in a $ 1.4 million non-cash impairment charge on the related right-of-use operating lease asset and fixed assets of that office space. Additionally, in the second quarter of 2024, we recognized $0.6 million of restructuring expense for rent and related expenses, net of sublease income, for previously vacated office spaces.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$4.4 million restructuring charge recognized in the first six months of 2024 included $1.4 million related to the non-cash lease impairment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charges on the right-of-use operating lease asset and fixed assets of the exited office space previously occupied by GG+A; $1.1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rent and related expenses, net of sublease income, for previously vacated office spaces; $1.0 million of severance-related expenses;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$0.8 million related to non-cash lease impairment charges driven by updated sublease assumptions for our previously vacated office spaces.</w:t>
      </w:r>
    </w:p>
    <w:p>
      <w:pPr>
        <w:spacing w:after="0" w:line="15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Restructuring charges for the three and six months ended June 30, 2023 were $1.7 million and $4.0 million. The $1.7 million of restructuring charges recognized in the second quarter of 2023 included $0.9 million of severance-related expenses; $0.3 million related to</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abandonment of a capitalized software development project; $0.2 million of rent and related expenses, net of sublease income, for previously vacated office spaces; and $0.2 million related to non-cash lease impairment charges driven by updated sublease assumptions for previously vacated office spaces. The $4.0 million of restructuring charges incurred in the first six months of 2023 included a $1.9 million noncash impairment charge on the fixed assets and right-of-use operating lease asset related to our office space in Hillsboro, Oregon, which we exited in the first quarter of 2023; $0.9 million of severance-related expenses; $0.6 million for rent and related expenses, net of sublease income, for previously vacated office spaces; $0.3 million related to the abandonment of a capitalized software development project; and $0.2 million related to non-cash lease impairment charges driven by updated sublease assumptions for previously vacated office spaces.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sets forth the changes in the carrying value of our restructuring charge liability by restructuring type for the six months ended June 30,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Costs</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of the $0.4 million restructuring charge liability related to employee costs at June 30, 2024 is expected to be paid in the next 12 months and is included as a component of accrued payroll and related benefits in our consolidated balance sheet. All of the $0.5 million other restructuring charge liability at June 30, 2024, which primarily relates to the early termination of a contract in a prior period, is expected to be paid in the next 12 months and is included as a component of accrued expenses and other current liabilities in our consolidated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Indian Rupee-denominated expenses of our operations in India. From time to time, we may enter into additional forward interest rate swaps or non-deliverable foreign exchange forward contracts to further hedge against our interest rate risk and foreign currency exchange rate risk. We do not use derivative instruments for trading or other speculative purposes.</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designated all of our derivative instruments as cash flow hedges. Therefore, changes in the fair value of the interest rate swaps and foreign exchange forward contracts are recorded to other comprehensive income to the extent effective and reclassified to earnings upon settlement.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6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are party to forward interest rate swap agreements with aggregate notional amounts of $300.0 million and $250.0 million as of June 30, 2024 and December 31, 2023, respectively. Under the terms of the interest rate swap agreements, we receive from the counterparty interest on the notional amount based on one month Term SOFR and we pay to the counterparty a stated, fixed rate. The forward interest rate swap agreements have staggered maturities through January 31, 2029.</w:t>
      </w:r>
    </w:p>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June 30, 2024, it was anticipated that $4.6 million of the gains, net of tax, related to interest rate swaps currently recorded in accumulated other comprehensive income will be reclassified into interest expense, net of interest income in our consolidated statement of operations within the next 12 months.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Forward Contracts</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party to non-deliverable foreign exchange forward contracts that are scheduled to mature monthly through April 30, 2025. As of June 30, 2024 and December 31, 2023, the aggregate notional amounts of these contracts were INR 629.2 million, or $7.5 million, and INR 1,375.7 million, or $16.6 million, respectively, based on the exchange rates in effect as of each period end.</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June 30, 2024, it was anticipated that the less than $0.1 million of losses, net of tax, related to foreign exchange forward contracts currently recorded in accumulated other comprehensive income will be reclassified into earnings in our consolidated statement of operations within the next 12 months.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additional information relating to our derivative instruments as of June 30, 2024 and December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Instrument</w:t>
            </w:r>
          </w:p>
        </w:tc>
        <w:tc>
          <w:tcPr>
            <w:tcW w:w="48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48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7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4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Refer to Note 11 “Other Comprehensive Income (Loss)” for additional information on our derivative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22" w:right="339" w:bottom="1440" w:gutter="0" w:footer="0" w:header="0"/>
        </w:sectPr>
      </w:pPr>
    </w:p>
    <w:p>
      <w:pPr>
        <w:spacing w:after="0" w:line="1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ind w:right="460"/>
        <w:spacing w:after="0" w:line="28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09" w:lineRule="exact"/>
        <w:rPr>
          <w:sz w:val="20"/>
          <w:szCs w:val="20"/>
          <w:color w:val="auto"/>
        </w:rPr>
      </w:pPr>
    </w:p>
    <w:p>
      <w:pPr>
        <w:sectPr>
          <w:pgSz w:w="11900" w:h="16838" w:orient="portrait"/>
          <w:cols w:equalWidth="0" w:num="2">
            <w:col w:w="1820" w:space="720"/>
            <w:col w:w="87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Level 3 Inputs</w:t>
            </w:r>
          </w:p>
        </w:tc>
        <w:tc>
          <w:tcPr>
            <w:tcW w:w="9400" w:type="dxa"/>
            <w:vAlign w:val="bottom"/>
          </w:tcPr>
          <w:p>
            <w:pPr>
              <w:ind w:left="700"/>
              <w:spacing w:after="0"/>
              <w:rPr>
                <w:sz w:val="20"/>
                <w:szCs w:val="20"/>
                <w:color w:val="auto"/>
              </w:rPr>
            </w:pPr>
            <w:r>
              <w:rPr>
                <w:rFonts w:ascii="Arial" w:cs="Arial" w:eastAsia="Arial" w:hAnsi="Arial"/>
                <w:sz w:val="18"/>
                <w:szCs w:val="18"/>
                <w:color w:val="auto"/>
              </w:rPr>
              <w:t>Unobservable inputs for the asset or liability, and include situations in which there is little, if any, market</w:t>
            </w:r>
          </w:p>
        </w:tc>
      </w:tr>
      <w:tr>
        <w:trPr>
          <w:trHeight w:val="239"/>
        </w:trPr>
        <w:tc>
          <w:tcPr>
            <w:tcW w:w="1840" w:type="dxa"/>
            <w:vAlign w:val="bottom"/>
          </w:tcPr>
          <w:p>
            <w:pPr>
              <w:spacing w:after="0"/>
              <w:rPr>
                <w:sz w:val="20"/>
                <w:szCs w:val="20"/>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activity for the asset or liability.</w:t>
            </w:r>
          </w:p>
        </w:tc>
      </w:tr>
      <w:tr>
        <w:trPr>
          <w:trHeight w:val="931"/>
        </w:trPr>
        <w:tc>
          <w:tcPr>
            <w:tcW w:w="1840" w:type="dxa"/>
            <w:vAlign w:val="bottom"/>
          </w:tcPr>
          <w:p>
            <w:pPr>
              <w:spacing w:after="0"/>
              <w:rPr>
                <w:sz w:val="24"/>
                <w:szCs w:val="24"/>
                <w:color w:val="auto"/>
              </w:rPr>
            </w:pPr>
          </w:p>
        </w:tc>
        <w:tc>
          <w:tcPr>
            <w:tcW w:w="9400" w:type="dxa"/>
            <w:vAlign w:val="bottom"/>
          </w:tcPr>
          <w:p>
            <w:pPr>
              <w:jc w:val="right"/>
              <w:ind w:right="5430"/>
              <w:spacing w:after="0"/>
              <w:rPr>
                <w:sz w:val="20"/>
                <w:szCs w:val="20"/>
                <w:color w:val="auto"/>
              </w:rPr>
            </w:pPr>
            <w:r>
              <w:rPr>
                <w:rFonts w:ascii="Arial" w:cs="Arial" w:eastAsia="Arial" w:hAnsi="Arial"/>
                <w:sz w:val="18"/>
                <w:szCs w:val="18"/>
                <w:color w:val="auto"/>
              </w:rPr>
              <w:t>12</w:t>
            </w:r>
          </w:p>
        </w:tc>
      </w:tr>
      <w:tr>
        <w:trPr>
          <w:trHeight w:val="111"/>
        </w:trPr>
        <w:tc>
          <w:tcPr>
            <w:tcW w:w="1840" w:type="dxa"/>
            <w:vAlign w:val="bottom"/>
            <w:tcBorders>
              <w:bottom w:val="single" w:sz="8" w:color="9A9A9A"/>
            </w:tcBorders>
          </w:tcPr>
          <w:p>
            <w:pPr>
              <w:spacing w:after="0"/>
              <w:rPr>
                <w:sz w:val="9"/>
                <w:szCs w:val="9"/>
                <w:color w:val="auto"/>
              </w:rPr>
            </w:pPr>
          </w:p>
        </w:tc>
        <w:tc>
          <w:tcPr>
            <w:tcW w:w="9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60"/>
        <w:spacing w:after="0" w:line="273"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2024 and December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2024</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57,550</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38,978</w:t>
            </w:r>
          </w:p>
        </w:tc>
      </w:tr>
      <w:tr>
        <w:trPr>
          <w:trHeight w:val="223"/>
        </w:trPr>
        <w:tc>
          <w:tcPr>
            <w:tcW w:w="5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103,710</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2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2023</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68,046</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34,826</w:t>
            </w:r>
          </w:p>
        </w:tc>
      </w:tr>
      <w:tr>
        <w:trPr>
          <w:trHeight w:val="22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42,372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68,046</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110,418</w:t>
            </w: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2,074</w:t>
            </w:r>
          </w:p>
        </w:tc>
      </w:tr>
      <w:tr>
        <w:trPr>
          <w:trHeight w:val="223"/>
        </w:trPr>
        <w:tc>
          <w:tcPr>
            <w:tcW w:w="5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bl>
    <w:p>
      <w:pPr>
        <w:spacing w:after="0" w:line="23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spacing w:after="0" w:line="12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i w:val="1"/>
          <w:iCs w:val="1"/>
          <w:color w:val="auto"/>
        </w:rPr>
        <w:t>Foreign exchange forward contracts</w:t>
      </w:r>
      <w:r>
        <w:rPr>
          <w:rFonts w:ascii="Arial" w:cs="Arial" w:eastAsia="Arial" w:hAnsi="Arial"/>
          <w:sz w:val="18"/>
          <w:szCs w:val="18"/>
          <w:color w:val="auto"/>
        </w:rPr>
        <w:t>: The fair values of our foreign exchange forward contracts were derived using estimates to settle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forward contracts agreements, which are based on the net present value of expected future cash flows on each contract utilizing market-based inputs, including both forward and spot prices, and a discount rate reflecting the risks involved. Refer to Note 9 “Derivative Instruments and Hedging Activity” for additional information on our foreign exchange forward contracts.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Since 2014, we have invested $40.9 million in the form of 1.69%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the applicable waterfall distribution at the end of the expected holding period based on the rights and privileges of the various instruments; cash flow projections discounted at the risk-adjusted rate of 23.5% and 24.5% as of June 30, 2024 and December 31, 2023, respectively; and the concluded equity volatility of 40.0% and 35.0% as of June 30, 2024 and December 31, 2023, respectively,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six months ended June 30,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center"/>
              <w:ind w:left="2070"/>
              <w:spacing w:after="0"/>
              <w:rPr>
                <w:sz w:val="20"/>
                <w:szCs w:val="20"/>
                <w:color w:val="auto"/>
              </w:rPr>
            </w:pPr>
            <w:r>
              <w:rPr>
                <w:rFonts w:ascii="Arial" w:cs="Arial" w:eastAsia="Arial" w:hAnsi="Arial"/>
                <w:sz w:val="18"/>
                <w:szCs w:val="18"/>
                <w:color w:val="auto"/>
                <w:w w:val="98"/>
              </w:rPr>
              <w:t>68,046</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left="2050"/>
              <w:spacing w:after="0"/>
              <w:rPr>
                <w:sz w:val="20"/>
                <w:szCs w:val="20"/>
                <w:color w:val="auto"/>
              </w:rPr>
            </w:pPr>
            <w:r>
              <w:rPr>
                <w:rFonts w:ascii="Arial" w:cs="Arial" w:eastAsia="Arial" w:hAnsi="Arial"/>
                <w:sz w:val="18"/>
                <w:szCs w:val="18"/>
                <w:color w:val="auto"/>
              </w:rPr>
              <w:t>(10,496)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shd w:val="clear" w:color="auto" w:fill="CCEEFF"/>
          </w:tcPr>
          <w:p>
            <w:pPr>
              <w:jc w:val="center"/>
              <w:ind w:left="2070"/>
              <w:spacing w:after="0"/>
              <w:rPr>
                <w:sz w:val="20"/>
                <w:szCs w:val="20"/>
                <w:color w:val="auto"/>
              </w:rPr>
            </w:pPr>
            <w:r>
              <w:rPr>
                <w:rFonts w:ascii="Arial" w:cs="Arial" w:eastAsia="Arial" w:hAnsi="Arial"/>
                <w:sz w:val="18"/>
                <w:szCs w:val="18"/>
                <w:color w:val="auto"/>
                <w:w w:val="98"/>
              </w:rPr>
              <w:t>57,550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6.3% as of both June 30, 2024 and December 31, 2023. The fair value of the contingent consideration is reassessed quarterly based on assumptions used in our latest projections and input provided by practice leaders and management. Any change in the fair value estimate is recorded to other gains, net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131" w:lineRule="exact"/>
        <w:rPr>
          <w:sz w:val="20"/>
          <w:szCs w:val="20"/>
          <w:color w:val="auto"/>
        </w:rPr>
      </w:pPr>
    </w:p>
    <w:p>
      <w:pPr>
        <w:ind w:right="440"/>
        <w:spacing w:after="0" w:line="273"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six months ended June 30, 2024.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December 31, 2023</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28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Contingent Consideration for</w:t>
            </w:r>
          </w:p>
        </w:tc>
      </w:tr>
      <w:tr>
        <w:trPr>
          <w:trHeight w:val="243"/>
        </w:trPr>
        <w:tc>
          <w:tcPr>
            <w:tcW w:w="2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18"/>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Pr>
          <w:p>
            <w:pPr>
              <w:jc w:val="right"/>
              <w:spacing w:after="0"/>
              <w:rPr>
                <w:sz w:val="20"/>
                <w:szCs w:val="20"/>
                <w:color w:val="auto"/>
              </w:rPr>
            </w:pPr>
            <w:r>
              <w:rPr>
                <w:rFonts w:ascii="Arial" w:cs="Arial" w:eastAsia="Arial" w:hAnsi="Arial"/>
                <w:sz w:val="18"/>
                <w:szCs w:val="18"/>
                <w:color w:val="auto"/>
              </w:rPr>
              <w:t>2,074</w:t>
            </w:r>
          </w:p>
        </w:tc>
      </w:tr>
      <w:tr>
        <w:trPr>
          <w:trHeight w:val="230"/>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5"/>
        </w:trPr>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-779145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-479425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-187960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7420" w:space="720"/>
            <w:col w:w="3100"/>
          </w:cols>
          <w:pgMar w:left="320" w:top="122" w:right="339" w:bottom="1440" w:gutter="0" w:footer="0" w:header="0"/>
          <w:type w:val="continuous"/>
        </w:sect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the 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concluded the appropriate accounting treatment for our investment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preferred stock using such identified information with changes in the fair value recorded in our consolidated statement of operations.</w:t>
      </w:r>
    </w:p>
    <w:p>
      <w:pPr>
        <w:spacing w:after="0" w:line="129"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During the first six months of 2024 and 2023, there were no observable price changes or impairments of our preferred stock investment. Since our initial investment, we have recognized cumulative unrealized gains of $ 28.6 million and cumulative unrealized losses of $26.3 million. As of June 30, 2024 and December 31, 2023, the carrying value of our preferred stock investment was $7.4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71"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and six months ended June 30, 2024 and 2023.</w:t>
      </w:r>
    </w:p>
    <w:tbl>
      <w:tblPr>
        <w:tblLayout w:type="fixed"/>
        <w:tblInd w:w="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8"/>
          </w:tcPr>
          <w:p>
            <w:pPr>
              <w:jc w:val="center"/>
              <w:ind w:right="30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5"/>
                <w:szCs w:val="15"/>
                <w:color w:val="auto"/>
              </w:rPr>
            </w:pPr>
          </w:p>
        </w:tc>
        <w:tc>
          <w:tcPr>
            <w:tcW w:w="3020" w:type="dxa"/>
            <w:vAlign w:val="bottom"/>
            <w:gridSpan w:val="7"/>
          </w:tcPr>
          <w:p>
            <w:pPr>
              <w:jc w:val="center"/>
              <w:ind w:right="7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June 30, 2024</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2023</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Tax</w:t>
            </w:r>
          </w:p>
        </w:tc>
        <w:tc>
          <w:tcPr>
            <w:tcW w:w="18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Net of</w:t>
            </w:r>
          </w:p>
        </w:tc>
        <w:tc>
          <w:tcPr>
            <w:tcW w:w="160" w:type="dxa"/>
            <w:vAlign w:val="bottom"/>
          </w:tcPr>
          <w:p>
            <w:pPr>
              <w:spacing w:after="0"/>
              <w:rPr>
                <w:sz w:val="14"/>
                <w:szCs w:val="14"/>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180" w:type="dxa"/>
            <w:vAlign w:val="bottom"/>
          </w:tcPr>
          <w:p>
            <w:pPr>
              <w:spacing w:after="0"/>
              <w:rPr>
                <w:sz w:val="14"/>
                <w:szCs w:val="14"/>
                <w:color w:val="auto"/>
              </w:rPr>
            </w:pPr>
          </w:p>
        </w:tc>
        <w:tc>
          <w:tcPr>
            <w:tcW w:w="8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Benefit</w:t>
            </w:r>
          </w:p>
        </w:tc>
        <w:tc>
          <w:tcPr>
            <w:tcW w:w="1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Taxes</w:t>
            </w:r>
          </w:p>
        </w:tc>
        <w:tc>
          <w:tcPr>
            <w:tcW w:w="16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Net unrealized gain (loss) on 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55"/>
        </w:trPr>
        <w:tc>
          <w:tcPr>
            <w:tcW w:w="4740" w:type="dxa"/>
            <w:vAlign w:val="bottom"/>
          </w:tcPr>
          <w:p>
            <w:pPr>
              <w:ind w:left="20"/>
              <w:spacing w:after="0" w:line="156" w:lineRule="exact"/>
              <w:rPr>
                <w:sz w:val="20"/>
                <w:szCs w:val="20"/>
                <w:color w:val="auto"/>
              </w:rPr>
            </w:pPr>
            <w:r>
              <w:rPr>
                <w:rFonts w:ascii="Arial" w:cs="Arial" w:eastAsia="Arial" w:hAnsi="Arial"/>
                <w:sz w:val="18"/>
                <w:szCs w:val="18"/>
                <w:color w:val="auto"/>
              </w:rPr>
              <w:t>Net unrealized gain (loss) on foreign exchange forward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9"/>
              </w:rPr>
              <w:t>Six Months Ended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9"/>
              </w:rPr>
              <w:t>Six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June 30, 2024</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Net of</w:t>
            </w:r>
          </w:p>
        </w:tc>
        <w:tc>
          <w:tcPr>
            <w:tcW w:w="160" w:type="dxa"/>
            <w:vAlign w:val="bottom"/>
          </w:tcPr>
          <w:p>
            <w:pPr>
              <w:spacing w:after="0"/>
              <w:rPr>
                <w:sz w:val="14"/>
                <w:szCs w:val="14"/>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200" w:type="dxa"/>
            <w:vAlign w:val="bottom"/>
          </w:tcPr>
          <w:p>
            <w:pPr>
              <w:spacing w:after="0"/>
              <w:rPr>
                <w:sz w:val="14"/>
                <w:szCs w:val="14"/>
                <w:color w:val="auto"/>
              </w:rPr>
            </w:pPr>
          </w:p>
        </w:tc>
        <w:tc>
          <w:tcPr>
            <w:tcW w:w="7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Benefit</w:t>
            </w:r>
          </w:p>
        </w:tc>
        <w:tc>
          <w:tcPr>
            <w:tcW w:w="2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Taxes</w:t>
            </w:r>
          </w:p>
        </w:tc>
        <w:tc>
          <w:tcPr>
            <w:tcW w:w="16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20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Net unrealized gain (loss) on 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4740" w:type="dxa"/>
            <w:vAlign w:val="bottom"/>
          </w:tcPr>
          <w:p>
            <w:pPr>
              <w:ind w:left="20"/>
              <w:spacing w:after="0" w:line="156" w:lineRule="exact"/>
              <w:rPr>
                <w:sz w:val="20"/>
                <w:szCs w:val="20"/>
                <w:color w:val="auto"/>
              </w:rPr>
            </w:pPr>
            <w:r>
              <w:rPr>
                <w:rFonts w:ascii="Arial" w:cs="Arial" w:eastAsia="Arial" w:hAnsi="Arial"/>
                <w:sz w:val="18"/>
                <w:szCs w:val="18"/>
                <w:color w:val="auto"/>
              </w:rPr>
              <w:t>Net unrealized gain (loss) on foreign exchange forward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before tax amounts reclassified from accumulated other comprehensive income related to our interest rate swaps and foreign exchange forward contracts are recorded to interest expense, net of interest income and direct costs, respectively, on our consolidated statement of operations. The related tax amounts reclassified from accumulated other comprehensive income are recorded to income tax expense (benefit) on our consolidated statement of operations. Refer to Note 9 “Derivative Instruments and Hedging Activity” for additional information on our derivative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00" w:type="dxa"/>
            <w:vAlign w:val="bottom"/>
          </w:tcPr>
          <w:p>
            <w:pPr>
              <w:spacing w:after="0"/>
              <w:rPr>
                <w:sz w:val="20"/>
                <w:szCs w:val="20"/>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Foreign Currency</w:t>
            </w:r>
          </w:p>
        </w:tc>
        <w:tc>
          <w:tcPr>
            <w:tcW w:w="1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Cash Flow Hedges</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Interest Rate</w:t>
            </w:r>
          </w:p>
        </w:tc>
        <w:tc>
          <w:tcPr>
            <w:tcW w:w="172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Foreign Exchange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22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Swaps</w:t>
            </w:r>
          </w:p>
        </w:tc>
        <w:tc>
          <w:tcPr>
            <w:tcW w:w="1840" w:type="dxa"/>
            <w:vAlign w:val="bottom"/>
            <w:gridSpan w:val="3"/>
          </w:tcPr>
          <w:p>
            <w:pPr>
              <w:ind w:left="60"/>
              <w:spacing w:after="0"/>
              <w:rPr>
                <w:sz w:val="20"/>
                <w:szCs w:val="20"/>
                <w:color w:val="auto"/>
              </w:rPr>
            </w:pPr>
            <w:r>
              <w:rPr>
                <w:rFonts w:ascii="Arial" w:cs="Arial" w:eastAsia="Arial" w:hAnsi="Arial"/>
                <w:sz w:val="18"/>
                <w:szCs w:val="18"/>
                <w:b w:val="1"/>
                <w:bCs w:val="1"/>
                <w:color w:val="auto"/>
              </w:rPr>
              <w:t>Forward Contracts</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9"/>
              </w:rPr>
              <w:t>(52)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2024</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14,005</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months ended June 30, 2024, our effective tax rate was 28.1% as we recognized income tax expense of $14.6 million on income of $52.1 million. The effective tax rate of 28.1% was less favorable than the statutory rate, inclusive of state income taxes, of 26.1%, primarily due to certain nondeductible expense items.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the three months ended June 30, 2023, our effective tax rate was 29.4% as we recognized income tax expense of $10.3 million on income of $35.0 million. The effective tax rate of 29.4% was less favorable than the statutory rate, inclusive of state income taxes, of 26.6%, primarily due to certain nondeductible expense items, partially offset by a tax benefit related to non-taxable gains on our investments used to fund our deferred compensation liability.</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six months ended June 30, 2024, our effective tax rate was 20.3% as we recognized income tax expense of $14.2 million on income of $69.7 million. The effective tax rate of 20.3% was more favorable than the statutory rate, inclusive of state income taxes, of 26.1%, primarily due to a discrete tax benefit for share-based compensation awards that vested during the first quarter of 2024 and a tax benefit related to non-taxable gains on our investments used to fund our deferred compensation liability. These favorable items were partially offset by certain nondeductible expense items.</w:t>
      </w:r>
    </w:p>
    <w:p>
      <w:pPr>
        <w:spacing w:after="0" w:line="125"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For the six months ended June 30, 2023, our effective tax rate was 25.0% as we recognized income tax expense of $12.7 million on income of $50.8 million. The effective tax rate of 25.0% was more favorable than the statutory rate, inclusive of state income taxes, of 26.6%,</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primarily due to a discrete tax benefit for share-based compensation awards that vested during the first quarter of 2023 and a tax benefit related to non-taxable gains on our investments used to fund our deferred compensation liability. These favorable items were partially offset by certain nondeductible expense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the second quarter of 2024, we recognized a pre-tax $15.0 million litigation settlement gain related to a completed legal matter for which Huron was the plaintiff, which is included in other gains, net on our consolidated statement of operations.</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6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Guarantees in the form of letters of credit totaling $0.6 million and $0.5 million were outstanding at June 30, 2024 and December 31, 2023, respectively, which are used as security deposits for our office facilities.</w:t>
      </w:r>
    </w:p>
    <w:p>
      <w:pPr>
        <w:spacing w:after="0" w:line="9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2024 and December 31, 2023, the total estimated fair value of our outstanding contingent consideration liability was $0.7 million and $2.1 million, respectively.</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w:t>
      </w:r>
    </w:p>
    <w:p>
      <w:pPr>
        <w:spacing w:after="0" w:line="1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1"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cost and care delivery transformation; digital offerings, spanning technology and analytic-related services, including enterprise health record (“EHR”), enterprise resource planning (“ERP”) and enterprise performance management (“EPM”), customer relationship management (“CRM”), data management and technology managed services, and a portfolio of software products; organizational transformation; revenue cycle managed services and outsourcing; financial and capital advisory consulting; and strategy and innovation consulting.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1" w:lineRule="exact"/>
        <w:rPr>
          <w:rFonts w:ascii="Arial" w:cs="Arial" w:eastAsia="Arial" w:hAnsi="Arial"/>
          <w:sz w:val="18"/>
          <w:szCs w:val="18"/>
          <w:color w:val="auto"/>
        </w:rPr>
      </w:pPr>
    </w:p>
    <w:p>
      <w:pPr>
        <w:ind w:left="660"/>
        <w:spacing w:after="0" w:line="256"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and research-focused services and products include our digital offerings, spanning technology and analytic-related services, including student information systems, ERP and EPM, CRM, data management and technology managed services and our Huron Research Suite product suite (the leading software suite designed to facilitate and improve research administration service delivery and compliance); our research-focused consulting and managed services; and our strategy and operations consulting services, which span finance, accounting, operations and philanthropy functions, organization and talent strategy, and student and academic strategy.</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w:t>
      </w:r>
    </w:p>
    <w:p>
      <w:pPr>
        <w:spacing w:after="0" w:line="171"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financial advisory (special situation advisory and corporate finance advisory) services, and strategy and innovation consulting services.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table below sets forth information about our operating segments for the three and six months ended June 30, 2024 and 2023, along with the items necessary to reconcile the segment information to the totals reported in the accompanying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190,098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173,768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370,840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322,817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55,246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97,940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81,406</w:t>
            </w:r>
          </w:p>
        </w:tc>
        <w:tc>
          <w:tcPr>
            <w:tcW w:w="0" w:type="dxa"/>
            <w:vAlign w:val="bottom"/>
          </w:tcPr>
          <w:p>
            <w:pPr>
              <w:spacing w:after="0"/>
              <w:rPr>
                <w:sz w:val="1"/>
                <w:szCs w:val="1"/>
                <w:color w:val="auto"/>
              </w:rPr>
            </w:pPr>
          </w:p>
        </w:tc>
      </w:tr>
      <w:tr>
        <w:trPr>
          <w:trHeight w:val="176"/>
        </w:trPr>
        <w:tc>
          <w:tcPr>
            <w:tcW w:w="514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29.1 %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122,753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110,694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234,336</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214,841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30,792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52,748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50,562</w:t>
            </w:r>
          </w:p>
        </w:tc>
        <w:tc>
          <w:tcPr>
            <w:tcW w:w="0" w:type="dxa"/>
            <w:vAlign w:val="bottom"/>
          </w:tcPr>
          <w:p>
            <w:pPr>
              <w:spacing w:after="0"/>
              <w:rPr>
                <w:sz w:val="1"/>
                <w:szCs w:val="1"/>
                <w:color w:val="auto"/>
              </w:rPr>
            </w:pPr>
          </w:p>
        </w:tc>
      </w:tr>
      <w:tr>
        <w:trPr>
          <w:trHeight w:val="175"/>
        </w:trPr>
        <w:tc>
          <w:tcPr>
            <w:tcW w:w="514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58,803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62,297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122,439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126,996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9,015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24,539</w:t>
            </w:r>
          </w:p>
        </w:tc>
        <w:tc>
          <w:tcPr>
            <w:tcW w:w="0" w:type="dxa"/>
            <w:vAlign w:val="bottom"/>
          </w:tcPr>
          <w:p>
            <w:pPr>
              <w:spacing w:after="0"/>
              <w:rPr>
                <w:sz w:val="1"/>
                <w:szCs w:val="1"/>
                <w:color w:val="auto"/>
              </w:rPr>
            </w:pPr>
          </w:p>
        </w:tc>
      </w:tr>
      <w:tr>
        <w:trPr>
          <w:trHeight w:val="176"/>
        </w:trPr>
        <w:tc>
          <w:tcPr>
            <w:tcW w:w="514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371,654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346,759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727,615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664,654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9,363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16,787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b w:val="1"/>
                <w:bCs w:val="1"/>
                <w:color w:val="auto"/>
              </w:rPr>
              <w:t>Total revenues and reimbursable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381,017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354,899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744,402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681,284</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95,053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87,020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173,742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156,507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45,626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43,044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96,565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86,665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(15,917)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(14,349)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3,894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7,922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9,094</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59,403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39,719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79,324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58,150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(9,669)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52,095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34,985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69,655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50,832</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7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illustrates the disaggregation of revenues by our two principal capabilities: i) Consulting and Managed Services and ii) Digital, and includes a reconciliation of the disaggregated revenues to revenues from our three operating segments for the three and six months ended June 30, 2024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r>
      <w:tr>
        <w:trPr>
          <w:trHeight w:val="223"/>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by Capability</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3"/>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133,987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124,944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258,198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226,680</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96,137</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190,098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173,768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370,840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322,817</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63,831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53,426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118,940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106,653</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108,188</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122,753</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110,694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234,336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214,841</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20,521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18,885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42,760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41,116</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85,880</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58,803</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62,297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122,439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126,996</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218,339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197,255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419,898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374,449</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290,205</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371,654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727,615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664,654</w:t>
            </w: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and six months ended June 30, 2024 and 2023, substantially all of our revenues were recognized over time. During the three and six months ended June 30, 2024 and 2023, no single client generated greater than 10% of our consolidated revenues. At June 30, 2024, one client in our Healthcare segment accounted for 13.4% of our combined receivable from clients, net and unbilled services, net balance as a result of outstanding invoices due in the normal course of the contract payment terms. At December 31, 2023, no single client accounted for greater than 10% of our combined balance of receivables from clients, net and unbilled services, net.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i w:val="1"/>
          <w:iCs w:val="1"/>
          <w:color w:val="auto"/>
        </w:rPr>
        <w:t>In this Quarterly Report on Form 10-Q, unless the context otherwise requires, the terms “Huron,” “Company,” “we,” “us” and “our” refer to Huron Consulting Group Inc. and its subsidiaries.</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2023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Huron is a global professional services firm that partners with clients to develop growth strategies, optimize operations and accelerate digital transformation, including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combination of our deep industry expertise and breadth of our offerings is the foundation of our growth strategy and why our clients choose Huron as their trusted advisor. Key focus areas of our growth strategy include:</w:t>
      </w:r>
    </w:p>
    <w:p>
      <w:pPr>
        <w:spacing w:after="0" w:line="99" w:lineRule="exact"/>
        <w:rPr>
          <w:sz w:val="20"/>
          <w:szCs w:val="20"/>
          <w:color w:val="auto"/>
        </w:rPr>
      </w:pPr>
    </w:p>
    <w:p>
      <w:pPr>
        <w:ind w:left="660" w:right="140" w:hanging="328"/>
        <w:spacing w:after="0" w:line="268" w:lineRule="auto"/>
        <w:tabs>
          <w:tab w:leader="none" w:pos="66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Accelerating Growth in Healthcare and Education: </w:t>
      </w:r>
      <w:r>
        <w:rPr>
          <w:rFonts w:ascii="Arial" w:cs="Arial" w:eastAsia="Arial" w:hAnsi="Arial"/>
          <w:sz w:val="18"/>
          <w:szCs w:val="18"/>
          <w:color w:val="auto"/>
        </w:rPr>
        <w:t>Huron has leading market positions in healthcare and education,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offerings to the largest health systems, academic medical centers, colleges and universities, and research institutes in the United States.</w:t>
      </w:r>
    </w:p>
    <w:p>
      <w:pPr>
        <w:spacing w:after="0" w:line="116" w:lineRule="exact"/>
        <w:rPr>
          <w:rFonts w:ascii="Arial" w:cs="Arial" w:eastAsia="Arial" w:hAnsi="Arial"/>
          <w:sz w:val="18"/>
          <w:szCs w:val="18"/>
          <w:b w:val="1"/>
          <w:bCs w:val="1"/>
          <w:color w:val="auto"/>
        </w:rPr>
      </w:pPr>
    </w:p>
    <w:p>
      <w:pPr>
        <w:ind w:left="660" w:right="300" w:hanging="328"/>
        <w:spacing w:after="0" w:line="268" w:lineRule="auto"/>
        <w:tabs>
          <w:tab w:leader="none" w:pos="66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Growing Presence in Commercial Industries: </w:t>
      </w:r>
      <w:r>
        <w:rPr>
          <w:rFonts w:ascii="Arial" w:cs="Arial" w:eastAsia="Arial" w:hAnsi="Arial"/>
          <w:sz w:val="18"/>
          <w:szCs w:val="18"/>
          <w:color w:val="auto"/>
        </w:rPr>
        <w:t>Huron’s commercial industry focus has increased the diversification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portfolio and end markets while expanding the range of capabilities it can deliver to clients, providing new avenues for growth and an important balance to its healthcare and education focus.</w:t>
      </w:r>
    </w:p>
    <w:p>
      <w:pPr>
        <w:spacing w:after="0" w:line="116" w:lineRule="exact"/>
        <w:rPr>
          <w:rFonts w:ascii="Arial" w:cs="Arial" w:eastAsia="Arial" w:hAnsi="Arial"/>
          <w:sz w:val="18"/>
          <w:szCs w:val="18"/>
          <w:b w:val="1"/>
          <w:bCs w:val="1"/>
          <w:color w:val="auto"/>
        </w:rPr>
      </w:pPr>
    </w:p>
    <w:p>
      <w:pPr>
        <w:ind w:left="660" w:right="120" w:hanging="328"/>
        <w:spacing w:after="0" w:line="268" w:lineRule="auto"/>
        <w:tabs>
          <w:tab w:leader="none" w:pos="66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Rapidly Growing Global Digital Capability: </w:t>
      </w:r>
      <w:r>
        <w:rPr>
          <w:rFonts w:ascii="Arial" w:cs="Arial" w:eastAsia="Arial" w:hAnsi="Arial"/>
          <w:sz w:val="18"/>
          <w:szCs w:val="18"/>
          <w:color w:val="auto"/>
        </w:rPr>
        <w:t>Huron’s ability to provide a broad portfolio of digital offerings that support the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operational needs of its clients is at the foundation of the Company’s strategy. Huron will continue to advance its integrated digital platform to support its strong growth trajectory.</w:t>
      </w:r>
    </w:p>
    <w:p>
      <w:pPr>
        <w:spacing w:after="0" w:line="116" w:lineRule="exact"/>
        <w:rPr>
          <w:rFonts w:ascii="Arial" w:cs="Arial" w:eastAsia="Arial" w:hAnsi="Arial"/>
          <w:sz w:val="18"/>
          <w:szCs w:val="18"/>
          <w:b w:val="1"/>
          <w:bCs w:val="1"/>
          <w:color w:val="auto"/>
        </w:rPr>
      </w:pPr>
    </w:p>
    <w:p>
      <w:pPr>
        <w:ind w:left="660" w:right="160" w:hanging="328"/>
        <w:spacing w:after="0" w:line="262"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Solid Foundation for Margin Expansion: </w:t>
      </w:r>
      <w:r>
        <w:rPr>
          <w:rFonts w:ascii="Arial" w:cs="Arial" w:eastAsia="Arial" w:hAnsi="Arial"/>
          <w:sz w:val="18"/>
          <w:szCs w:val="18"/>
          <w:color w:val="auto"/>
        </w:rPr>
        <w:t>The Company is well-positioned to achieve consistent margin expansion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strong annual adjusted diluted earnings per share growth. We are committed to operating income margin expansion by growing the areas of the business that provide the most attractive returns, improving the operational efficiency of our delivery for clients, and scaling our selling, general, and administrative expenses as we grow.</w:t>
      </w:r>
    </w:p>
    <w:p>
      <w:pPr>
        <w:spacing w:after="0" w:line="122" w:lineRule="exact"/>
        <w:rPr>
          <w:rFonts w:ascii="Arial" w:cs="Arial" w:eastAsia="Arial" w:hAnsi="Arial"/>
          <w:sz w:val="18"/>
          <w:szCs w:val="18"/>
          <w:color w:val="auto"/>
        </w:rPr>
      </w:pPr>
    </w:p>
    <w:p>
      <w:pPr>
        <w:ind w:left="660" w:right="280" w:hanging="328"/>
        <w:spacing w:after="0" w:line="268" w:lineRule="auto"/>
        <w:tabs>
          <w:tab w:leader="none" w:pos="66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Strong Balance Sheet and Cash Flows: </w:t>
      </w:r>
      <w:r>
        <w:rPr>
          <w:rFonts w:ascii="Arial" w:cs="Arial" w:eastAsia="Arial" w:hAnsi="Arial"/>
          <w:sz w:val="18"/>
          <w:szCs w:val="18"/>
          <w:color w:val="auto"/>
        </w:rPr>
        <w:t>Strong free cash flows have and will continue to be a hallmark of Huron’s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 and business model. The Company is committed to deploying capital in a strategic and balanced way, including returning capital to shareholders and executing strategic, tuck-in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 AND PRODUCTS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provide our services and products and manage our business under three operating segments: Healthcare, Education, and Commercial. The Commercial segment includes all industries outside of healthcare and education, including, but not limited to, financial services and energy and utilities. We also provide revenue reporting across two principal capabilities: i) Consulting and Managed Services and ii) Digital, which are methods by which we deliver our services and products.</w:t>
      </w:r>
    </w:p>
    <w:p>
      <w:pPr>
        <w:sectPr>
          <w:pgSz w:w="11900" w:h="16838" w:orient="portrait"/>
          <w:cols w:equalWidth="0" w:num="1">
            <w:col w:w="11240"/>
          </w:cols>
          <w:pgMar w:left="320" w:top="121" w:right="339" w:bottom="1067"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67"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Industries</w:t>
      </w:r>
    </w:p>
    <w:p>
      <w:pPr>
        <w:spacing w:after="0" w:line="17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69"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cost and care delivery transformation; digital offerings, spanning technology and analytic-related services, including enterprise health record (“EHR”), enterprise resource planning (“ERP”) and enterprise performance management (“EPM”), customer relationship management (“CRM”), data management and technology managed services, and a portfolio of software products; organizational transformation; revenue cycle managed services and outsourcing; financial and capital advisory consulting; and strategy and innovation consulting.</w:t>
      </w:r>
    </w:p>
    <w:p>
      <w:pPr>
        <w:spacing w:after="0" w:line="126"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best serve our clients, we continue to diversify our portfolio of offerings. For example, we have broadened our capabilities beyond our leading profit and loss-focused offerings (e.g., revenue cycle, cost transformation) into offerings dedicated to optimizing our clients' financial positions through financial advisory and transaction-related services; transforming care delivery models through virtual health, health equity and social determinants of health models; and evolving organizations by supporting change management and developing the next generation of leaders by applying our best practices (e.g., revenue cycle leadership).</w:t>
      </w:r>
    </w:p>
    <w:p>
      <w:pPr>
        <w:spacing w:after="0" w:line="12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69" w:lineRule="exact"/>
        <w:rPr>
          <w:rFonts w:ascii="Arial" w:cs="Arial" w:eastAsia="Arial" w:hAnsi="Arial"/>
          <w:sz w:val="18"/>
          <w:szCs w:val="18"/>
          <w:b w:val="1"/>
          <w:bCs w:val="1"/>
          <w:color w:val="auto"/>
        </w:rPr>
      </w:pPr>
    </w:p>
    <w:p>
      <w:pPr>
        <w:ind w:left="6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and research-focused services and products include our digital offerings, spanning technology and analytic-related services, including student information systems, ERP and EPM, CRM, data management and technology managed services and our Huron Research Suite product suite (the leading software suite designed to facilitate and improve research administration service delivery and compliance); our research-focused consulting and managed services; and our strategy and operations consulting services, which span finance, accounting, operations and philanthropy functions, organization and talent strategy, and student and academic strategy. We continue to broaden our offerings into new areas. Most recently, we expanded our research managed services, advancement, campus health and well-being, and athletics offerings.</w:t>
      </w:r>
    </w:p>
    <w:p>
      <w:pPr>
        <w:spacing w:after="0" w:line="132"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Commercial</w:t>
      </w:r>
    </w:p>
    <w:p>
      <w:pPr>
        <w:spacing w:after="0" w:line="169" w:lineRule="exact"/>
        <w:rPr>
          <w:rFonts w:ascii="Arial" w:cs="Arial" w:eastAsia="Arial" w:hAnsi="Arial"/>
          <w:sz w:val="18"/>
          <w:szCs w:val="18"/>
          <w:b w:val="1"/>
          <w:bCs w:val="1"/>
          <w:i w:val="1"/>
          <w:iCs w:val="1"/>
          <w:color w:val="auto"/>
        </w:rPr>
      </w:pPr>
    </w:p>
    <w:p>
      <w:pPr>
        <w:ind w:left="660" w:right="1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financial advisory (special situation advisory and corporate finance advisory) services, and strategy and innovation consulting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Within each of our operating segments, we provide our offerings under two principal capabilities: i) Consulting and Managed Services and ii) Digital.</w:t>
      </w:r>
    </w:p>
    <w:p>
      <w:pPr>
        <w:spacing w:after="0" w:line="10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and Managed Services</w:t>
      </w:r>
    </w:p>
    <w:p>
      <w:pPr>
        <w:spacing w:after="0" w:line="169" w:lineRule="exact"/>
        <w:rPr>
          <w:rFonts w:ascii="Arial" w:cs="Arial" w:eastAsia="Arial" w:hAnsi="Arial"/>
          <w:sz w:val="18"/>
          <w:szCs w:val="18"/>
          <w:color w:val="auto"/>
        </w:rPr>
      </w:pPr>
    </w:p>
    <w:p>
      <w:pPr>
        <w:ind w:left="660" w:right="80"/>
        <w:spacing w:after="0" w:line="274" w:lineRule="auto"/>
        <w:rPr>
          <w:rFonts w:ascii="Arial" w:cs="Arial" w:eastAsia="Arial" w:hAnsi="Arial"/>
          <w:sz w:val="18"/>
          <w:szCs w:val="18"/>
          <w:color w:val="auto"/>
        </w:rPr>
      </w:pPr>
      <w:r>
        <w:rPr>
          <w:rFonts w:ascii="Arial" w:cs="Arial" w:eastAsia="Arial" w:hAnsi="Arial"/>
          <w:sz w:val="17"/>
          <w:szCs w:val="17"/>
          <w:color w:val="auto"/>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w:t>
      </w:r>
    </w:p>
    <w:p>
      <w:pPr>
        <w:spacing w:after="0" w:line="169" w:lineRule="exact"/>
        <w:rPr>
          <w:rFonts w:ascii="Arial" w:cs="Arial" w:eastAsia="Arial" w:hAnsi="Arial"/>
          <w:sz w:val="18"/>
          <w:szCs w:val="18"/>
          <w:b w:val="1"/>
          <w:bCs w:val="1"/>
          <w:i w:val="1"/>
          <w:iCs w:val="1"/>
          <w:color w:val="auto"/>
        </w:rPr>
      </w:pPr>
    </w:p>
    <w:p>
      <w:pPr>
        <w:ind w:left="660" w:right="10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 We have invested organically and inorganically to expand our Digital offerings, which now span beyond traditional ERP implementations into a broader set of administrative systems, industry-specific systems of record and systems of engagement that act</w:t>
      </w:r>
    </w:p>
    <w:p>
      <w:pPr>
        <w:sectPr>
          <w:pgSz w:w="11900" w:h="16838" w:orient="portrait"/>
          <w:cols w:equalWidth="0" w:num="1">
            <w:col w:w="11220"/>
          </w:cols>
          <w:pgMar w:left="320" w:top="121" w:right="359" w:bottom="459"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459"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as the “digital front door” to an organization. We also have grown our data, analytics and automation offerings to deliver a unified and actionable technology ecosystem for our clients.</w:t>
      </w:r>
    </w:p>
    <w:p>
      <w:pPr>
        <w:spacing w:after="0" w:line="99" w:lineRule="exact"/>
        <w:rPr>
          <w:sz w:val="20"/>
          <w:szCs w:val="20"/>
          <w:color w:val="auto"/>
        </w:rPr>
      </w:pPr>
    </w:p>
    <w:p>
      <w:pPr>
        <w:ind w:left="660" w:right="320"/>
        <w:spacing w:after="0" w:line="262" w:lineRule="auto"/>
        <w:rPr>
          <w:sz w:val="20"/>
          <w:szCs w:val="20"/>
          <w:color w:val="auto"/>
        </w:rPr>
      </w:pPr>
      <w:r>
        <w:rPr>
          <w:rFonts w:ascii="Arial" w:cs="Arial" w:eastAsia="Arial" w:hAnsi="Arial"/>
          <w:sz w:val="18"/>
          <w:szCs w:val="18"/>
          <w:color w:val="auto"/>
        </w:rPr>
        <w:t>We have expanded our ecosystem to work with more than 25 technology partners. We are a Leading Modern Oracle Network Partner; a Summit-level consulting partner with Salesforce.com and a Premium Partner with Salesforce.org; a Workday Services, Preferred Channel, Extend, and Application Management Services Partner; an Amazon Web Services consulting partner; an Informatica Platinum Partner; an SAP Concur implementation partner; and a Boomi Elite Partner.</w:t>
      </w:r>
    </w:p>
    <w:p>
      <w:pPr>
        <w:spacing w:after="0" w:line="122" w:lineRule="exact"/>
        <w:rPr>
          <w:sz w:val="20"/>
          <w:szCs w:val="20"/>
          <w:color w:val="auto"/>
        </w:rPr>
      </w:pPr>
    </w:p>
    <w:p>
      <w:pPr>
        <w:ind w:left="660" w:right="100"/>
        <w:spacing w:after="0" w:line="256" w:lineRule="auto"/>
        <w:rPr>
          <w:sz w:val="20"/>
          <w:szCs w:val="20"/>
          <w:color w:val="auto"/>
        </w:rPr>
      </w:pPr>
      <w:r>
        <w:rPr>
          <w:rFonts w:ascii="Arial" w:cs="Arial" w:eastAsia="Arial" w:hAnsi="Arial"/>
          <w:sz w:val="18"/>
          <w:szCs w:val="18"/>
          <w:color w:val="auto"/>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2024 Best in KLAS® Software &amp; Services report; and Huron Intelligence™ Analytic Suite in Healthcare, a predictive analytics suite to improve care delivery while lowering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generate our revenues from providing professional services and software products under the following four types of billing arrangements: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fixed-fee (including software license revenue); time-and-expense; performance-based; and software support, maintenance and subscriptions.</w:t>
      </w:r>
    </w:p>
    <w:p>
      <w:pPr>
        <w:spacing w:after="0" w:line="153" w:lineRule="exact"/>
        <w:rPr>
          <w:sz w:val="20"/>
          <w:szCs w:val="20"/>
          <w:color w:val="auto"/>
        </w:rPr>
      </w:pPr>
    </w:p>
    <w:p>
      <w:pPr>
        <w:ind w:left="660" w:right="40" w:hanging="328"/>
        <w:spacing w:after="0" w:line="262"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Fixed-fee (including software license revenue): </w:t>
      </w:r>
      <w:r>
        <w:rPr>
          <w:rFonts w:ascii="Arial" w:cs="Arial" w:eastAsia="Arial" w:hAnsi="Arial"/>
          <w:sz w:val="18"/>
          <w:szCs w:val="18"/>
          <w:color w:val="auto"/>
        </w:rPr>
        <w:t>In fixed-fee billing arrangements, we agree to a pre-established fee in exchange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w:t>
      </w:r>
    </w:p>
    <w:p>
      <w:pPr>
        <w:spacing w:after="0" w:line="122" w:lineRule="exact"/>
        <w:rPr>
          <w:rFonts w:ascii="Arial" w:cs="Arial" w:eastAsia="Arial" w:hAnsi="Arial"/>
          <w:sz w:val="18"/>
          <w:szCs w:val="18"/>
          <w:color w:val="auto"/>
        </w:rPr>
      </w:pPr>
    </w:p>
    <w:p>
      <w:pPr>
        <w:jc w:val="both"/>
        <w:ind w:left="660" w:right="180" w:hanging="328"/>
        <w:spacing w:after="0" w:line="268"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Time-and-expense: </w:t>
      </w:r>
      <w:r>
        <w:rPr>
          <w:rFonts w:ascii="Arial" w:cs="Arial" w:eastAsia="Arial" w:hAnsi="Arial"/>
          <w:sz w:val="18"/>
          <w:szCs w:val="18"/>
          <w:color w:val="auto"/>
        </w:rPr>
        <w:t>Under time-and-expense billing arrangements, we invoice our clients based on the number of hours worked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revenue-generating professionals at agreed upon rates. Time-and-expense arrangements also include speaking engagements, conferences and publications purchased by our clients.</w:t>
      </w:r>
    </w:p>
    <w:p>
      <w:pPr>
        <w:spacing w:after="0" w:line="116" w:lineRule="exact"/>
        <w:rPr>
          <w:rFonts w:ascii="Arial" w:cs="Arial" w:eastAsia="Arial" w:hAnsi="Arial"/>
          <w:sz w:val="18"/>
          <w:szCs w:val="18"/>
          <w:color w:val="auto"/>
        </w:rPr>
      </w:pPr>
    </w:p>
    <w:p>
      <w:pPr>
        <w:ind w:left="660" w:right="120" w:hanging="328"/>
        <w:spacing w:after="0" w:line="257"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w:t>
      </w:r>
      <w:r>
        <w:rPr>
          <w:rFonts w:ascii="Arial" w:cs="Arial" w:eastAsia="Arial" w:hAnsi="Arial"/>
          <w:sz w:val="18"/>
          <w:szCs w:val="18"/>
          <w:color w:val="auto"/>
        </w:rPr>
        <w:t>In performance-based billing arrangements, fees are tied to the attainment of contractually defined objectives.</w:t>
      </w:r>
      <w:r>
        <w:rPr>
          <w:rFonts w:ascii="Arial" w:cs="Arial" w:eastAsia="Arial" w:hAnsi="Arial"/>
          <w:sz w:val="18"/>
          <w:szCs w:val="18"/>
          <w:i w:val="1"/>
          <w:iCs w:val="1"/>
          <w:color w:val="auto"/>
        </w:rPr>
        <w:t xml:space="preserve"> </w:t>
      </w:r>
      <w:r>
        <w:rPr>
          <w:rFonts w:ascii="Arial" w:cs="Arial" w:eastAsia="Arial" w:hAnsi="Arial"/>
          <w:sz w:val="18"/>
          <w:szCs w:val="18"/>
          <w:color w:val="auto"/>
        </w:rPr>
        <w:t>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spacing w:after="0" w:line="128" w:lineRule="exact"/>
        <w:rPr>
          <w:rFonts w:ascii="Arial" w:cs="Arial" w:eastAsia="Arial" w:hAnsi="Arial"/>
          <w:sz w:val="18"/>
          <w:szCs w:val="18"/>
          <w:color w:val="auto"/>
        </w:rPr>
      </w:pPr>
    </w:p>
    <w:p>
      <w:pPr>
        <w:ind w:left="660" w:hanging="328"/>
        <w:spacing w:after="0" w:line="262"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Software support, maintenance and subscriptions: </w:t>
      </w:r>
      <w:r>
        <w:rPr>
          <w:rFonts w:ascii="Arial" w:cs="Arial" w:eastAsia="Arial" w:hAnsi="Arial"/>
          <w:sz w:val="18"/>
          <w:szCs w:val="18"/>
          <w:color w:val="auto"/>
        </w:rPr>
        <w:t>Clients that have purchased one of our software licenses can pay an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2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taken by our consultants and holidays in each quarter. We typically have fewer business work days available in the fourth quarter of the year, which can impact revenues during that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7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and reimbursable expenses. We manage our business on the basis of revenues before reimbursable expenses, which we believe is the most accurate reflection of our services because it eliminates the effect of reimbursable expenses that we bill to our clients at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spacing w:after="0" w:line="12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Selling, general and administrative expenses consist primarily of compensation costs for our support personnel. Also included in selling, general and administrative expenses are third-party professional fees, software licenses and data hosting expenses, rent and other office related expenses, sales and marketing related expenses, recruiting and training expenses, and practice administration and meetings expenses.</w:t>
      </w:r>
    </w:p>
    <w:p>
      <w:pPr>
        <w:spacing w:after="0" w:line="1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Other operating expenses include restructuring charges, other gains and losses, depreciation expense, and amortization expense related to internally developed software costs and intangible assets acquired in business combinations.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Other operating expenses not allocated at the segment level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assess our results of operations using the following non-GAAP financial measures: earnings before interest, taxes, depreciation and amortization (“EBITDA”), adjusted EBITDA, adjusted EBITDA as a percentage of revenues,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exclude the effect of amortization of intangible assets from the calculation of adjusted net income,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inconsistent in its amount and frequency and is significantly affected by the timing and size of our acquisitions.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restructuring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w:t>
      </w:r>
    </w:p>
    <w:p>
      <w:pPr>
        <w:sectPr>
          <w:pgSz w:w="11900" w:h="16838" w:orient="portrait"/>
          <w:cols w:equalWidth="0" w:num="1">
            <w:col w:w="11220"/>
          </w:cols>
          <w:pgMar w:left="320" w:top="121" w:right="359" w:bottom="945"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945"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2024 litigation settlement gain: </w:t>
      </w:r>
      <w:r>
        <w:rPr>
          <w:rFonts w:ascii="Arial" w:cs="Arial" w:eastAsia="Arial" w:hAnsi="Arial"/>
          <w:sz w:val="18"/>
          <w:szCs w:val="18"/>
          <w:color w:val="auto"/>
        </w:rPr>
        <w:t>In the second quarter of 2024, we settled a litigation matter for which Huron was the plaintiff for $15.0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on a pre-tax basis. This $15.0 million settlement gain was recorded as a component of other gains, net on our consolidated statement of operations. We have excluded from our non-GAAP measures $11.7 million, which is the value of the settlement gain that exceeds the third-party legal costs incurred during 2024 specific to this litigation matter, as this net gain is not indicative of the ongoing performance of our business. Of the $3.3 million third-party legal costs incurred for this matter in the first half of 2024, $ 2.7 million was incurred in the first quarter and $0.6 million was incurred in the second quarter. Our third-party legal expenses are recorded as a component of selling, general and administrative expenses on our statement of operations. Third-party legal costs incurred for this litigation matter during the three and six months ended June 30, 2023 were $0.4 million and $1.0 million, respectively.</w:t>
      </w:r>
    </w:p>
    <w:p>
      <w:pPr>
        <w:spacing w:after="0" w:line="13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i w:val="1"/>
          <w:iCs w:val="1"/>
          <w:color w:val="auto"/>
        </w:rPr>
        <w:t xml:space="preserve">Other losses (gains), net: </w:t>
      </w:r>
      <w:r>
        <w:rPr>
          <w:rFonts w:ascii="Arial" w:cs="Arial" w:eastAsia="Arial" w:hAnsi="Arial"/>
          <w:sz w:val="18"/>
          <w:szCs w:val="18"/>
          <w:color w:val="auto"/>
        </w:rPr>
        <w:t>We exclude the effects of other losses and gains, which primarily relate to changes in the estimated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liabilities for contingent consideration related to business acquisitions and litigation settlement losses and gains, excluding the 2024 litigation settlement gain presented separately, to permit comparability with periods that are not impacted by these items. These items are recorded as a component of other gains, net on our consolidated statement of operations.</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 the impact of third-party advisory, legal, and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other corporate costs incurred directly related to the evaluation and/or consummation of business acquisitions.</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exclude the effect of foreign currency transaction losses and gains from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adjusted EBITDA because the amount of each loss or gain is significantly affected by changes in foreign exchange rates.</w:t>
      </w:r>
    </w:p>
    <w:p>
      <w:pPr>
        <w:spacing w:after="0" w:line="99"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exclude the effects of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Revenue-Generating Professionals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Utilization Rate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2024 include:</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Total revenues increased 7.2% to $371.7 million for the second quarter of 2024 from $346.8 million for the second quarter of 2023.</w:t>
      </w:r>
    </w:p>
    <w:p>
      <w:pPr>
        <w:spacing w:after="0" w:line="171" w:lineRule="exact"/>
        <w:rPr>
          <w:rFonts w:ascii="Arial" w:cs="Arial" w:eastAsia="Arial" w:hAnsi="Arial"/>
          <w:sz w:val="18"/>
          <w:szCs w:val="18"/>
          <w:b w:val="1"/>
          <w:bCs w:val="1"/>
          <w:color w:val="auto"/>
        </w:rPr>
      </w:pPr>
    </w:p>
    <w:p>
      <w:pPr>
        <w:ind w:left="660" w:right="120" w:hanging="328"/>
        <w:spacing w:after="0" w:line="268" w:lineRule="auto"/>
        <w:tabs>
          <w:tab w:leader="none" w:pos="669"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Diluted EPS increased 59.8% to $2.03 for the second quarter of 2024, compared to $1.27 for the second quarter of 2023. Diluted EPS for the second quarter of 2024 includes a litigation settlement gain related to a completed legal matter for which Huron was the plaintiff, which had a favorable $0.60 impact on diluted EPS.</w:t>
      </w:r>
    </w:p>
    <w:p>
      <w:pPr>
        <w:spacing w:after="0" w:line="116"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diluted EPS increased 21.7% to $1.68 for the second quarter of 2024, compared to $1.38 for the second quarter of 2023.</w:t>
      </w:r>
    </w:p>
    <w:p>
      <w:pPr>
        <w:spacing w:after="0" w:line="171" w:lineRule="exact"/>
        <w:rPr>
          <w:rFonts w:ascii="Arial" w:cs="Arial" w:eastAsia="Arial" w:hAnsi="Arial"/>
          <w:sz w:val="18"/>
          <w:szCs w:val="18"/>
          <w:color w:val="auto"/>
        </w:rPr>
      </w:pPr>
    </w:p>
    <w:p>
      <w:pPr>
        <w:ind w:left="660" w:hanging="328"/>
        <w:spacing w:after="0" w:line="287" w:lineRule="auto"/>
        <w:tabs>
          <w:tab w:leader="none" w:pos="669"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$107.2 million for the second quarter of 2024, compared to $78.2 million for the second quarter of 2023.</w:t>
      </w:r>
    </w:p>
    <w:p>
      <w:pPr>
        <w:spacing w:after="0" w:line="9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Returned $96.7 million to shareholders in the first six months of 2024 by repurchasing 1,001,191 shares of our common stock.</w:t>
      </w:r>
    </w:p>
    <w:p>
      <w:pPr>
        <w:sectPr>
          <w:pgSz w:w="11900" w:h="16838" w:orient="portrait"/>
          <w:cols w:equalWidth="0" w:num="1">
            <w:col w:w="11240"/>
          </w:cols>
          <w:pgMar w:left="320" w:top="121" w:right="339" w:bottom="11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107"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revenues increased $24.9 million, or 7.2%, to $371.7 million for the second quarter of 2024 from $346.8 million for the second quarter of 2023. The increase in revenues was driven by continued strength in demand for Healthcare's Consulting and Managed Services and Digital capabilities, as well as an increase in demand for Education's Consulting and Managed Services capability, reflecting our focus on accelerating growth in our healthcare and education industries. These increases were partially offset by a decrease in demand for Commercial's Digital capability.</w:t>
      </w:r>
    </w:p>
    <w:p>
      <w:pPr>
        <w:spacing w:after="0" w:line="1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our Consulting and Managed Services capability, revenues for the second quarter of 2024 increased 10.7%, compared to the second quarter of 2023, and reflected strengthened demand in our Education and Healthcare segments. The utilization rate within our Consulting capability decreased to 73.7% in the second quarter of 2024, compared to 76.0% in the second quarter of 2023.</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Revenues within our Digital capability increased 2.5% in the second quarter of 2024, compared to the second quarter of 2023, and reflected strengthened demand in our Healthcare segment, partially offset by a decrease in demand in our Commercial segment. The utilization rate within our Digital capability increased to 75.0% in the second quarter of 2024, compared to 74.7% in the second quarter of 2023.</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total number of revenue-generating professionals increased 13.0% to 5,848 as of June 30, 2024, compared to 5,174 as of June 30, 2023, as a result of hiring to support the overall increase in demand for our services, and includes approximately 70 hires as a result of our acquisition of GG+A in the first quarter of 2024. We proactively plan and manage the size and composition of our workforce and take actions as needed to address changes in the anticipated demand for our services as employee compensation costs are the most significant portion of our operating expenses.</w:t>
      </w:r>
    </w:p>
    <w:p>
      <w:pPr>
        <w:spacing w:after="0" w:line="1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Net income increased $12.8 million, or 51.7%, to $37.5 million for the three months ended June 30, 2024 from $24.7 million for the same period last year. Net income for the second quarter of 2024 includes an $11.1 million litigation settlement gain, net of tax, related to a completed legal matter for which Huron was the plaintiff. As a result of the increase in net income and a reduction in diluted shares outstanding resulting from share repurchases, diluted earnings per share for the second quarter of 2024 increased 59.8% to $2.03, compared to $1.27 for the second quarter of 2023. The litigation settlement gain recognized in the second quarter of 2024 had a favorable $0.60 impact on diluted earnings per share. Adjusted diluted earnings per share increased 21.7% to $1.68 for the second quarter of 2024, compared to $1.38 for the second quarter of 2023.</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for the second quarter of 2024 was $107.2 million, compared to $78.2 million for the second quarter of 2023. The increase in net cash provided by operating activities was primarily related to an increase in cash collections during the second quarter of 2024 compared to the second quarter of 2023; partially offset by increases in payments for salaries and related expenses for our revenue-generating professionals and selling, general and administrative expenses during the second quarter of 2024 compared to the second quarter of 2023.</w:t>
      </w:r>
    </w:p>
    <w:p>
      <w:pPr>
        <w:spacing w:after="0" w:line="1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the first six months of 2024, we deployed $96.7 million of capital to repurchase 1,001,191 shares of our common stock, representing 5.4% of our common stock outstanding as of December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71"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including non-GAAP measures.</w:t>
      </w:r>
    </w:p>
    <w:p>
      <w:pPr>
        <w:sectPr>
          <w:pgSz w:w="11900" w:h="16838" w:orient="portrait"/>
          <w:cols w:equalWidth="0" w:num="1">
            <w:col w:w="11240"/>
          </w:cols>
          <w:pgMar w:left="320" w:top="121" w:right="339" w:bottom="0" w:gutter="0" w:footer="0" w:header="0"/>
        </w:sectPr>
      </w:pPr>
    </w:p>
    <w:p>
      <w:pPr>
        <w:spacing w:after="0" w:line="244" w:lineRule="exact"/>
        <w:rPr>
          <w:sz w:val="20"/>
          <w:szCs w:val="20"/>
          <w:color w:val="auto"/>
        </w:rPr>
      </w:pPr>
    </w:p>
    <w:p>
      <w:pPr>
        <w:ind w:left="20" w:right="540"/>
        <w:spacing w:after="0" w:line="265"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60" w:type="dxa"/>
            <w:vAlign w:val="bottom"/>
            <w:gridSpan w:val="5"/>
          </w:tcPr>
          <w:p>
            <w:pPr>
              <w:jc w:val="center"/>
              <w:ind w:right="12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4"/>
          </w:tcPr>
          <w:p>
            <w:pPr>
              <w:jc w:val="center"/>
              <w:spacing w:after="0" w:line="182" w:lineRule="exact"/>
              <w:rPr>
                <w:sz w:val="20"/>
                <w:szCs w:val="20"/>
                <w:color w:val="auto"/>
              </w:rPr>
            </w:pPr>
            <w:r>
              <w:rPr>
                <w:rFonts w:ascii="Arial" w:cs="Arial" w:eastAsia="Arial" w:hAnsi="Arial"/>
                <w:sz w:val="18"/>
                <w:szCs w:val="18"/>
                <w:b w:val="1"/>
                <w:bCs w:val="1"/>
                <w:color w:val="auto"/>
                <w:w w:val="99"/>
              </w:rPr>
              <w:t>Six Months Ended</w:t>
            </w:r>
          </w:p>
        </w:tc>
      </w:tr>
      <w:tr>
        <w:trPr>
          <w:trHeight w:val="243"/>
        </w:trPr>
        <w:tc>
          <w:tcPr>
            <w:tcW w:w="1020" w:type="dxa"/>
            <w:vAlign w:val="bottom"/>
          </w:tcPr>
          <w:p>
            <w:pPr>
              <w:spacing w:after="0"/>
              <w:rPr>
                <w:sz w:val="21"/>
                <w:szCs w:val="21"/>
                <w:color w:val="auto"/>
              </w:rPr>
            </w:pPr>
          </w:p>
        </w:tc>
        <w:tc>
          <w:tcPr>
            <w:tcW w:w="20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Pr>
          <w:p>
            <w:pPr>
              <w:spacing w:after="0"/>
              <w:rPr>
                <w:sz w:val="21"/>
                <w:szCs w:val="21"/>
                <w:color w:val="auto"/>
              </w:rPr>
            </w:pPr>
          </w:p>
        </w:tc>
        <w:tc>
          <w:tcPr>
            <w:tcW w:w="1940" w:type="dxa"/>
            <w:vAlign w:val="bottom"/>
            <w:gridSpan w:val="3"/>
          </w:tcPr>
          <w:p>
            <w:pPr>
              <w:jc w:val="center"/>
              <w:ind w:right="93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-8255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4480" w:space="720"/>
            <w:col w:w="604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190,098</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173,768</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370,840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322,817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55,246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81,406</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29.1 %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122,753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110,694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234,336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214,841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30,792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50,562</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58,803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62,297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122,439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126,996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9,015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24,539</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371,654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346,759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727,615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664,654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9,363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16,787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b w:val="1"/>
                <w:bCs w:val="1"/>
                <w:color w:val="auto"/>
              </w:rPr>
              <w:t>Total revenues and reimbursable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381,017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354,899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744,402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681,284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95,053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87,020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173,742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156,507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right="540"/>
        <w:spacing w:after="0" w:line="265"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2232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 operating expenses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gains, net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43"/>
        </w:trPr>
        <w:tc>
          <w:tcPr>
            <w:tcW w:w="194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21"/>
                <w:szCs w:val="21"/>
                <w:color w:val="auto"/>
              </w:rPr>
            </w:pPr>
          </w:p>
        </w:tc>
      </w:tr>
      <w:tr>
        <w:trPr>
          <w:trHeight w:val="223"/>
        </w:trPr>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18"/>
        </w:trPr>
        <w:tc>
          <w:tcPr>
            <w:tcW w:w="1420" w:type="dxa"/>
            <w:vAlign w:val="bottom"/>
          </w:tcPr>
          <w:p>
            <w:pPr>
              <w:jc w:val="right"/>
              <w:ind w:right="150"/>
              <w:spacing w:after="0"/>
              <w:rPr>
                <w:sz w:val="20"/>
                <w:szCs w:val="20"/>
                <w:color w:val="auto"/>
              </w:rPr>
            </w:pPr>
            <w:r>
              <w:rPr>
                <w:rFonts w:ascii="Arial" w:cs="Arial" w:eastAsia="Arial" w:hAnsi="Arial"/>
                <w:sz w:val="18"/>
                <w:szCs w:val="18"/>
                <w:color w:val="auto"/>
              </w:rPr>
              <w:t>45,626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43,044</w:t>
            </w:r>
          </w:p>
        </w:tc>
        <w:tc>
          <w:tcPr>
            <w:tcW w:w="10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96,565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86,665</w:t>
            </w:r>
          </w:p>
        </w:tc>
      </w:tr>
      <w:tr>
        <w:trPr>
          <w:trHeight w:val="229"/>
        </w:trPr>
        <w:tc>
          <w:tcPr>
            <w:tcW w:w="1420" w:type="dxa"/>
            <w:vAlign w:val="bottom"/>
          </w:tcPr>
          <w:p>
            <w:pPr>
              <w:jc w:val="right"/>
              <w:ind w:right="90"/>
              <w:spacing w:after="0"/>
              <w:rPr>
                <w:sz w:val="20"/>
                <w:szCs w:val="20"/>
                <w:color w:val="auto"/>
              </w:rPr>
            </w:pPr>
            <w:r>
              <w:rPr>
                <w:rFonts w:ascii="Arial" w:cs="Arial" w:eastAsia="Arial" w:hAnsi="Arial"/>
                <w:sz w:val="18"/>
                <w:szCs w:val="18"/>
                <w:color w:val="auto"/>
              </w:rPr>
              <w:t>(15,917)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(188)</w:t>
            </w:r>
          </w:p>
        </w:tc>
      </w:tr>
      <w:tr>
        <w:trPr>
          <w:trHeight w:val="229"/>
        </w:trPr>
        <w:tc>
          <w:tcPr>
            <w:tcW w:w="1420" w:type="dxa"/>
            <w:vAlign w:val="bottom"/>
          </w:tcPr>
          <w:p>
            <w:pPr>
              <w:jc w:val="right"/>
              <w:ind w:right="15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2,786</w:t>
            </w:r>
          </w:p>
        </w:tc>
      </w:tr>
      <w:tr>
        <w:trPr>
          <w:trHeight w:val="235"/>
        </w:trPr>
        <w:tc>
          <w:tcPr>
            <w:tcW w:w="1420" w:type="dxa"/>
            <w:vAlign w:val="bottom"/>
          </w:tcPr>
          <w:p>
            <w:pPr>
              <w:jc w:val="right"/>
              <w:ind w:right="150"/>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-436880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-145415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480" w:space="720"/>
            <w:col w:w="6040"/>
          </w:cols>
          <w:pgMar w:left="320" w:top="121" w:right="339" w:bottom="1080" w:gutter="0" w:footer="0" w:header="0"/>
        </w:sectPr>
      </w:pPr>
    </w:p>
    <w:tbl>
      <w:tblPr>
        <w:tblLayout w:type="fixed"/>
        <w:tblInd w:w="0" w:type="dxa"/>
        <w:tblCellMar>
          <w:top w:w="0" w:type="dxa"/>
          <w:left w:w="0" w:type="dxa"/>
          <w:bottom w:w="0" w:type="dxa"/>
          <w:right w:w="0" w:type="dxa"/>
        </w:tblCellMar>
      </w:tblP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59,403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39,719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79,324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58,150</w:t>
            </w:r>
          </w:p>
        </w:tc>
      </w:tr>
      <w:tr>
        <w:trPr>
          <w:trHeight w:val="229"/>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(9,669)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(7,318)</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52,095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69,655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50,832</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14,613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10,273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14,167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12,701</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37,482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55,488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38,131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2.00</w:t>
            </w: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1.95</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69"/>
        </w:trPr>
        <w:tc>
          <w:tcPr>
            <w:tcW w:w="50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rPr>
              <w:t>Number of revenue-generating professionals by segment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5200" w:type="dxa"/>
            <w:vAlign w:val="bottom"/>
            <w:gridSpan w:val="2"/>
          </w:tcPr>
          <w:p>
            <w:pPr>
              <w:ind w:left="20"/>
              <w:spacing w:after="0" w:line="243" w:lineRule="exact"/>
              <w:rPr>
                <w:sz w:val="20"/>
                <w:szCs w:val="20"/>
                <w:color w:val="auto"/>
              </w:rPr>
            </w:pPr>
            <w:r>
              <w:rPr>
                <w:rFonts w:ascii="Arial" w:cs="Arial" w:eastAsia="Arial" w:hAnsi="Arial"/>
                <w:sz w:val="18"/>
                <w:szCs w:val="18"/>
                <w:b w:val="1"/>
                <w:bCs w:val="1"/>
                <w:color w:val="auto"/>
              </w:rPr>
              <w:t>(at period end)</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1,852</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1,124</w:t>
            </w:r>
          </w:p>
        </w:tc>
      </w:tr>
      <w:tr>
        <w:trPr>
          <w:trHeight w:val="230"/>
        </w:trPr>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2,198</w:t>
            </w: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5,174</w:t>
            </w:r>
          </w:p>
        </w:tc>
      </w:tr>
      <w:tr>
        <w:trPr>
          <w:trHeight w:val="216"/>
        </w:trPr>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by capability:</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(3)(4)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218,339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197,255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419,898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374,449</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Digital</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153,315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149,504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307,717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290,205</w:t>
            </w:r>
          </w:p>
        </w:tc>
      </w:tr>
      <w:tr>
        <w:trPr>
          <w:trHeight w:val="223"/>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371,654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346,759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727,615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664,654</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5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Number of revenue-generating professionals by capability</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(at period end):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5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(3)(5)</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2,473</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2,701</w:t>
            </w: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5,174</w:t>
            </w:r>
          </w:p>
        </w:tc>
      </w:tr>
      <w:tr>
        <w:trPr>
          <w:trHeight w:val="216"/>
        </w:trPr>
        <w:tc>
          <w:tcPr>
            <w:tcW w:w="5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0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Utilization rate by capability </w:t>
            </w:r>
            <w:r>
              <w:rPr>
                <w:rFonts w:ascii="Arial" w:cs="Arial" w:eastAsia="Arial" w:hAnsi="Arial"/>
                <w:sz w:val="23"/>
                <w:szCs w:val="23"/>
                <w:b w:val="1"/>
                <w:bCs w:val="1"/>
                <w:color w:val="auto"/>
                <w:vertAlign w:val="superscript"/>
              </w:rPr>
              <w:t>(6)</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76.1 %</w:t>
            </w:r>
          </w:p>
        </w:tc>
      </w:tr>
      <w:tr>
        <w:trPr>
          <w:trHeight w:val="23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Digital</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72.8 %</w:t>
            </w:r>
          </w:p>
        </w:tc>
      </w:tr>
    </w:tbl>
    <w:p>
      <w:pPr>
        <w:spacing w:after="0" w:line="228" w:lineRule="exact"/>
        <w:rPr>
          <w:sz w:val="20"/>
          <w:szCs w:val="20"/>
          <w:color w:val="auto"/>
        </w:rPr>
      </w:pPr>
    </w:p>
    <w:p>
      <w:pPr>
        <w:ind w:left="580" w:right="100" w:hanging="572"/>
        <w:spacing w:after="0" w:line="262"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2024, we reclassified certain revenue-generating professionals within our Digital capability from our Healthcare and Education segments to our Commercial segment as these professionals are able to provide services across all of our industries. This reclassification did not impact the total Digital capability headcount for any period. The prior period headcount has been revised for consistent presentation.</w:t>
      </w:r>
    </w:p>
    <w:p>
      <w:pPr>
        <w:spacing w:after="0" w:line="14" w:lineRule="exact"/>
        <w:rPr>
          <w:rFonts w:ascii="Arial" w:cs="Arial" w:eastAsia="Arial" w:hAnsi="Arial"/>
          <w:sz w:val="18"/>
          <w:szCs w:val="18"/>
          <w:color w:val="auto"/>
        </w:rPr>
      </w:pPr>
    </w:p>
    <w:p>
      <w:pPr>
        <w:ind w:left="580" w:right="340" w:hanging="572"/>
        <w:spacing w:after="0" w:line="298" w:lineRule="auto"/>
        <w:tabs>
          <w:tab w:leader="none" w:pos="61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majority of our revenue-generating professionals within our Commercial segment can provide services across all of our industries, including healthcare and education, and the related costs of these professionals are allocated to each of the segments.</w:t>
      </w:r>
    </w:p>
    <w:p>
      <w:pPr>
        <w:ind w:left="580" w:right="120" w:hanging="572"/>
        <w:spacing w:after="0" w:line="257"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2024, we reclassified one of the offerings within Education's Consulting capability to Education's Managed Services capability. Revenues generated by this offering during the quarters ended March 31, 2023, June 30, 2023, September 30, 2023, and December 31, 2023 were $2.8 million, $2.2 million, $2.4 million, and $2.7 million, respectively, and during the years ended December 31, 2022 and 2023 were $15.0 million and $10.1 million, respectively. The number of revenue-generating professionals within this offering as of December 31, 2022, March 31, 2023, June 30, 2023, September 30, 2023 and December 31, 2023 were 54, 24, 24, 24 and 23, respectively.</w:t>
      </w:r>
    </w:p>
    <w:p>
      <w:pPr>
        <w:spacing w:after="0" w:line="20" w:lineRule="exact"/>
        <w:rPr>
          <w:sz w:val="20"/>
          <w:szCs w:val="20"/>
          <w:color w:val="auto"/>
        </w:rPr>
      </w:pPr>
    </w:p>
    <w:p>
      <w:pPr>
        <w:jc w:val="both"/>
        <w:ind w:left="580" w:right="660"/>
        <w:spacing w:after="0" w:line="268" w:lineRule="auto"/>
        <w:rPr>
          <w:sz w:val="20"/>
          <w:szCs w:val="20"/>
          <w:color w:val="auto"/>
        </w:rPr>
      </w:pPr>
      <w:r>
        <w:rPr>
          <w:rFonts w:ascii="Arial" w:cs="Arial" w:eastAsia="Arial" w:hAnsi="Arial"/>
          <w:sz w:val="18"/>
          <w:szCs w:val="18"/>
          <w:color w:val="auto"/>
        </w:rPr>
        <w:t>This reclassification did not impact the aggregate revenues or headcount reported for the Education Consulting and Managed Services capability for any period, and the prior period Education Managed Services capability revenues and headcount in the following footnotes have been revised for consistent presentation.</w:t>
      </w:r>
    </w:p>
    <w:p>
      <w:pPr>
        <w:spacing w:after="0" w:line="9" w:lineRule="exact"/>
        <w:rPr>
          <w:sz w:val="20"/>
          <w:szCs w:val="20"/>
          <w:color w:val="auto"/>
        </w:rPr>
      </w:pPr>
    </w:p>
    <w:p>
      <w:pPr>
        <w:ind w:left="580" w:right="20" w:hanging="572"/>
        <w:spacing w:after="0" w:line="268"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8"/>
          <w:szCs w:val="18"/>
          <w:color w:val="auto"/>
        </w:rPr>
        <w:t>Managed Services capability revenues within our Healthcare segment was $16.7 million and $17.3 million for the three months ended June 30, 2024 and 2023, respectively; and $34.2 million and $37.1 million for the six months ended June 30, 2024 and 2023, respectively.</w:t>
      </w:r>
    </w:p>
    <w:p>
      <w:pPr>
        <w:sectPr>
          <w:pgSz w:w="11900" w:h="16838" w:orient="portrait"/>
          <w:cols w:equalWidth="0" w:num="1">
            <w:col w:w="11240"/>
          </w:cols>
          <w:pgMar w:left="320" w:top="121" w:right="339" w:bottom="108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8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0" w:right="320"/>
        <w:spacing w:after="0" w:line="268" w:lineRule="auto"/>
        <w:rPr>
          <w:sz w:val="20"/>
          <w:szCs w:val="20"/>
          <w:color w:val="auto"/>
        </w:rPr>
      </w:pPr>
      <w:r>
        <w:rPr>
          <w:rFonts w:ascii="Arial" w:cs="Arial" w:eastAsia="Arial" w:hAnsi="Arial"/>
          <w:sz w:val="18"/>
          <w:szCs w:val="18"/>
          <w:color w:val="auto"/>
        </w:rPr>
        <w:t>Managed Services capability revenues within our Education segment was $6.8 million and $7.1 million for the three months ended June 30, 2024 and 2023, respectively; and $14.2 million and $14.5 million for the six months ended June 30, 2024 and 2023, respectively.</w:t>
      </w:r>
    </w:p>
    <w:p>
      <w:pPr>
        <w:spacing w:after="0" w:line="9" w:lineRule="exact"/>
        <w:rPr>
          <w:sz w:val="20"/>
          <w:szCs w:val="20"/>
          <w:color w:val="auto"/>
        </w:rPr>
      </w:pPr>
    </w:p>
    <w:p>
      <w:pPr>
        <w:ind w:left="580" w:right="720" w:hanging="572"/>
        <w:spacing w:after="0" w:line="281" w:lineRule="auto"/>
        <w:tabs>
          <w:tab w:leader="none" w:pos="6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Managed Services revenue-generating professionals within our Healthcare segment was 1,116 and 772 as of June 30, 2024 and 2023, respectively.</w:t>
      </w:r>
    </w:p>
    <w:p>
      <w:pPr>
        <w:spacing w:after="0" w:line="1" w:lineRule="exact"/>
        <w:rPr>
          <w:sz w:val="20"/>
          <w:szCs w:val="20"/>
          <w:color w:val="auto"/>
        </w:rPr>
      </w:pPr>
    </w:p>
    <w:p>
      <w:pPr>
        <w:ind w:left="580" w:right="220"/>
        <w:spacing w:after="0" w:line="281" w:lineRule="auto"/>
        <w:rPr>
          <w:sz w:val="20"/>
          <w:szCs w:val="20"/>
          <w:color w:val="auto"/>
        </w:rPr>
      </w:pPr>
      <w:r>
        <w:rPr>
          <w:rFonts w:ascii="Arial" w:cs="Arial" w:eastAsia="Arial" w:hAnsi="Arial"/>
          <w:sz w:val="18"/>
          <w:szCs w:val="18"/>
          <w:color w:val="auto"/>
        </w:rPr>
        <w:t>The number of Managed Services revenue-generating professionals within our Education segment was 128 and 130 as of June 30, 2024 and 2023, respectively.</w:t>
      </w:r>
    </w:p>
    <w:p>
      <w:pPr>
        <w:spacing w:after="0" w:line="1" w:lineRule="exact"/>
        <w:rPr>
          <w:sz w:val="20"/>
          <w:szCs w:val="20"/>
          <w:color w:val="auto"/>
        </w:rPr>
      </w:pPr>
    </w:p>
    <w:p>
      <w:pPr>
        <w:ind w:left="580" w:right="180" w:hanging="572"/>
        <w:spacing w:after="0" w:line="268" w:lineRule="auto"/>
        <w:tabs>
          <w:tab w:leader="none" w:pos="6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EBITDA and Adjusted EBITDA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June 30,</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371,654</w:t>
            </w: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346,759</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727,615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664,654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tcBorders>
              <w:top w:val="single" w:sz="8" w:color="CCEEFF"/>
            </w:tcBorders>
            <w:vMerge w:val="continue"/>
          </w:tcPr>
          <w:p>
            <w:pPr>
              <w:spacing w:after="0"/>
              <w:rPr>
                <w:sz w:val="17"/>
                <w:szCs w:val="17"/>
                <w:color w:val="auto"/>
              </w:rPr>
            </w:pPr>
          </w:p>
        </w:tc>
        <w:tc>
          <w:tcPr>
            <w:tcW w:w="32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37,482</w:t>
            </w: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24,712</w:t>
            </w: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55,488</w:t>
            </w:r>
          </w:p>
        </w:tc>
        <w:tc>
          <w:tcPr>
            <w:tcW w:w="100" w:type="dxa"/>
            <w:vAlign w:val="bottom"/>
          </w:tcPr>
          <w:p>
            <w:pPr>
              <w:spacing w:after="0"/>
              <w:rPr>
                <w:sz w:val="17"/>
                <w:szCs w:val="17"/>
                <w:color w:val="auto"/>
              </w:rPr>
            </w:pPr>
          </w:p>
        </w:tc>
        <w:tc>
          <w:tcPr>
            <w:tcW w:w="120" w:type="dxa"/>
            <w:vAlign w:val="bottom"/>
            <w:tcBorders>
              <w:top w:val="single" w:sz="8" w:color="auto"/>
            </w:tcBorders>
            <w:gridSpan w:val="2"/>
          </w:tcPr>
          <w:p>
            <w:pPr>
              <w:jc w:val="center"/>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38,131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12,701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interest income</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6,244</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12,425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66,293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95,174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73,814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2024 litigation settlement gain</w:t>
            </w:r>
          </w:p>
        </w:tc>
        <w:tc>
          <w:tcPr>
            <w:tcW w:w="320" w:type="dxa"/>
            <w:vAlign w:val="bottom"/>
          </w:tcPr>
          <w:p>
            <w:pPr>
              <w:spacing w:after="0"/>
              <w:rPr>
                <w:sz w:val="19"/>
                <w:szCs w:val="19"/>
                <w:color w:val="auto"/>
              </w:rPr>
            </w:pPr>
          </w:p>
        </w:tc>
        <w:tc>
          <w:tcPr>
            <w:tcW w:w="1060" w:type="dxa"/>
            <w:vAlign w:val="bottom"/>
            <w:gridSpan w:val="3"/>
          </w:tcPr>
          <w:p>
            <w:pPr>
              <w:jc w:val="right"/>
              <w:ind w:right="90"/>
              <w:spacing w:after="0"/>
              <w:rPr>
                <w:sz w:val="20"/>
                <w:szCs w:val="20"/>
                <w:color w:val="auto"/>
              </w:rPr>
            </w:pPr>
            <w:r>
              <w:rPr>
                <w:rFonts w:ascii="Arial" w:cs="Arial" w:eastAsia="Arial" w:hAnsi="Arial"/>
                <w:sz w:val="18"/>
                <w:szCs w:val="18"/>
                <w:color w:val="auto"/>
              </w:rPr>
              <w:t>(11,701)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(11,701)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losses (gains), net</w:t>
            </w:r>
          </w:p>
        </w:tc>
        <w:tc>
          <w:tcPr>
            <w:tcW w:w="3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Transaction-related expenses</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55,684</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48,475</w:t>
            </w:r>
          </w:p>
        </w:tc>
        <w:tc>
          <w:tcPr>
            <w:tcW w:w="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89,502</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77,977</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8640" w:type="dxa"/>
            <w:vAlign w:val="bottom"/>
            <w:gridSpan w:val="14"/>
          </w:tcPr>
          <w:p>
            <w:pPr>
              <w:spacing w:after="0"/>
              <w:rPr>
                <w:sz w:val="20"/>
                <w:szCs w:val="20"/>
                <w:color w:val="auto"/>
              </w:rPr>
            </w:pPr>
            <w:r>
              <w:rPr>
                <w:rFonts w:ascii="Arial" w:cs="Arial" w:eastAsia="Arial" w:hAnsi="Arial"/>
                <w:sz w:val="18"/>
                <w:szCs w:val="18"/>
                <w:b w:val="1"/>
                <w:bCs w:val="1"/>
                <w:i w:val="1"/>
                <w:iCs w:val="1"/>
                <w:color w:val="auto"/>
              </w:rPr>
              <w:t>Reconciliation of Net Income to Adjusted Net Income and Adjusted Diluted Earnings per Share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11"/>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44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tcPr>
          <w:p>
            <w:pPr>
              <w:jc w:val="center"/>
              <w:ind w:left="670"/>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37,482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55,488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98"/>
              </w:rPr>
              <w:t>18,454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19,486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18,741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1.27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 litigation settlement gain</w:t>
            </w:r>
          </w:p>
        </w:tc>
        <w:tc>
          <w:tcPr>
            <w:tcW w:w="320" w:type="dxa"/>
            <w:vAlign w:val="bottom"/>
            <w:shd w:val="clear" w:color="auto" w:fill="CCEEFF"/>
          </w:tcPr>
          <w:p>
            <w:pPr>
              <w:spacing w:after="0"/>
              <w:rPr>
                <w:sz w:val="19"/>
                <w:szCs w:val="19"/>
                <w:color w:val="auto"/>
              </w:rPr>
            </w:pP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Other losses (gains), net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5"/>
              </w:rPr>
              <w:t>(623)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Transaction-related expenses</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 effect of adjustments</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(808)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adjustments, net of tax</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30,946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26,954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54,200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Adjusted diluted earnings per share</w:t>
            </w:r>
          </w:p>
        </w:tc>
        <w:tc>
          <w:tcPr>
            <w:tcW w:w="320" w:type="dxa"/>
            <w:vAlign w:val="bottom"/>
          </w:tcPr>
          <w:p>
            <w:pPr>
              <w:spacing w:after="0"/>
              <w:rPr>
                <w:sz w:val="19"/>
                <w:szCs w:val="19"/>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6"/>
              </w:rPr>
              <w:t>1.38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2024 Compared to Three Months Ended June 30,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three months ended June 30, 2024 and 2023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190,098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173,768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16,330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4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371,654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24,895</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218,339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197,255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21,084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371,654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346,759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increased $24.9 million, or 7.2%, to $371.7 million for the second quarter of 2024 from $346.8 million for the second quarter of 2023. The overall increase in revenues was driven by continued strength in demand for Healthcare's Consulting and Managed Services and Digital capabilities, as well as an increase in demand for Education's Consulting and Managed Services capability, reflecting our focus on accelerating growth in our healthcare and education industries. These increases in demand were partially offset by a decrease in demand for Commercial's Digital capability. Additional information on our revenues by segment follows.</w:t>
      </w:r>
    </w:p>
    <w:p>
      <w:pPr>
        <w:spacing w:after="0" w:line="125" w:lineRule="exact"/>
        <w:rPr>
          <w:sz w:val="20"/>
          <w:szCs w:val="20"/>
          <w:color w:val="auto"/>
        </w:rPr>
      </w:pPr>
    </w:p>
    <w:p>
      <w:pPr>
        <w:ind w:left="660" w:right="100" w:hanging="328"/>
        <w:spacing w:after="0" w:line="257" w:lineRule="auto"/>
        <w:tabs>
          <w:tab w:leader="none" w:pos="669"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$16.3 million, or 9.4%, driven by continued strength in demand for our performance improvement,</w:t>
      </w:r>
      <w:r>
        <w:rPr>
          <w:rFonts w:ascii="Arial" w:cs="Arial" w:eastAsia="Arial" w:hAnsi="Arial"/>
          <w:sz w:val="18"/>
          <w:szCs w:val="18"/>
          <w:b w:val="1"/>
          <w:bCs w:val="1"/>
          <w:color w:val="auto"/>
        </w:rPr>
        <w:t xml:space="preserve"> </w:t>
      </w:r>
      <w:r>
        <w:rPr>
          <w:rFonts w:ascii="Arial" w:cs="Arial" w:eastAsia="Arial" w:hAnsi="Arial"/>
          <w:sz w:val="18"/>
          <w:szCs w:val="18"/>
          <w:color w:val="auto"/>
        </w:rPr>
        <w:t>culture and organizational excellence, and strategy and innovation solutions within our Consulting and Managed Services capability, as well as an increase in demand for our technology and analytics services within our Digital capability. These increases in demand were partially offset by a decrease in demand for our financial advisory solutions within our Consulting and Managed Services capability. Revenues in the second quarter of 2024 included $0.3 million of incremental revenues from our acquisition of Roundtable Analytics completed in September 2023.</w:t>
      </w:r>
    </w:p>
    <w:p>
      <w:pPr>
        <w:spacing w:after="0" w:line="128" w:lineRule="exact"/>
        <w:rPr>
          <w:rFonts w:ascii="Arial" w:cs="Arial" w:eastAsia="Arial" w:hAnsi="Arial"/>
          <w:sz w:val="18"/>
          <w:szCs w:val="18"/>
          <w:b w:val="1"/>
          <w:bCs w:val="1"/>
          <w:i w:val="1"/>
          <w:iCs w:val="1"/>
          <w:color w:val="auto"/>
        </w:rPr>
      </w:pPr>
    </w:p>
    <w:p>
      <w:pPr>
        <w:ind w:left="660" w:right="840"/>
        <w:spacing w:after="0" w:line="28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within our Healthcare segment grew 26.3% to 2,339 as of June 30, 2024, compared to 1,852 as of June 30, 2023.</w:t>
      </w:r>
    </w:p>
    <w:p>
      <w:pPr>
        <w:spacing w:after="0" w:line="98" w:lineRule="exact"/>
        <w:rPr>
          <w:rFonts w:ascii="Arial" w:cs="Arial" w:eastAsia="Arial" w:hAnsi="Arial"/>
          <w:sz w:val="18"/>
          <w:szCs w:val="18"/>
          <w:b w:val="1"/>
          <w:bCs w:val="1"/>
          <w:i w:val="1"/>
          <w:iCs w:val="1"/>
          <w:color w:val="auto"/>
        </w:rPr>
      </w:pPr>
    </w:p>
    <w:p>
      <w:pPr>
        <w:ind w:left="660" w:right="180" w:hanging="328"/>
        <w:spacing w:after="0" w:line="291" w:lineRule="auto"/>
        <w:tabs>
          <w:tab w:leader="none" w:pos="669"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revenues increased $12.1 million, or 10.9%, and includes $6.8 million of incremental revenues from our acquisition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GG+A completed in March 2024. The increase in Education revenues was also driven by increases in demand for our strategy and operations solution within our Consulting and Managed Services capability and our software products within our Digital capability.</w:t>
      </w:r>
    </w:p>
    <w:p>
      <w:pPr>
        <w:spacing w:after="0" w:line="98" w:lineRule="exact"/>
        <w:rPr>
          <w:rFonts w:ascii="Arial" w:cs="Arial" w:eastAsia="Arial" w:hAnsi="Arial"/>
          <w:sz w:val="17"/>
          <w:szCs w:val="17"/>
          <w:b w:val="1"/>
          <w:bCs w:val="1"/>
          <w:i w:val="1"/>
          <w:iCs w:val="1"/>
          <w:color w:val="auto"/>
        </w:rPr>
      </w:pPr>
    </w:p>
    <w:p>
      <w:pPr>
        <w:ind w:left="660" w:right="60"/>
        <w:spacing w:after="0" w:line="318" w:lineRule="auto"/>
        <w:rPr>
          <w:rFonts w:ascii="Arial" w:cs="Arial" w:eastAsia="Arial" w:hAnsi="Arial"/>
          <w:sz w:val="17"/>
          <w:szCs w:val="17"/>
          <w:b w:val="1"/>
          <w:bCs w:val="1"/>
          <w:i w:val="1"/>
          <w:iCs w:val="1"/>
          <w:color w:val="auto"/>
        </w:rPr>
      </w:pPr>
      <w:r>
        <w:rPr>
          <w:rFonts w:ascii="Arial" w:cs="Arial" w:eastAsia="Arial" w:hAnsi="Arial"/>
          <w:sz w:val="17"/>
          <w:szCs w:val="17"/>
          <w:color w:val="auto"/>
        </w:rPr>
        <w:t>The number of revenue-generating professionals within our Education segment grew 10.6% to 1,243 as of June 30, 2024, compared to 1,124 as of June 30, 2023. Our acquisition of GG+A in March 2024 added approximately 70 revenue-generating professionals.</w:t>
      </w:r>
    </w:p>
    <w:p>
      <w:pPr>
        <w:spacing w:after="0" w:line="75" w:lineRule="exact"/>
        <w:rPr>
          <w:rFonts w:ascii="Arial" w:cs="Arial" w:eastAsia="Arial" w:hAnsi="Arial"/>
          <w:sz w:val="17"/>
          <w:szCs w:val="17"/>
          <w:b w:val="1"/>
          <w:bCs w:val="1"/>
          <w:i w:val="1"/>
          <w:iCs w:val="1"/>
          <w:color w:val="auto"/>
        </w:rPr>
      </w:pPr>
    </w:p>
    <w:p>
      <w:pPr>
        <w:ind w:left="660" w:right="440" w:hanging="328"/>
        <w:spacing w:after="0" w:line="268" w:lineRule="auto"/>
        <w:tabs>
          <w:tab w:leader="none" w:pos="669"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revenues decreased $3.5 million, or 5.6%, primarily due to a decrease in demand for our technology and analytics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within our Digital capability, partially offset by an increase in demand for our financial advisory solutions within our Consulting and Managed Services capability.</w:t>
      </w:r>
    </w:p>
    <w:p>
      <w:pPr>
        <w:spacing w:after="0" w:line="116" w:lineRule="exact"/>
        <w:rPr>
          <w:rFonts w:ascii="Arial" w:cs="Arial" w:eastAsia="Arial" w:hAnsi="Arial"/>
          <w:sz w:val="18"/>
          <w:szCs w:val="18"/>
          <w:b w:val="1"/>
          <w:bCs w:val="1"/>
          <w:i w:val="1"/>
          <w:iCs w:val="1"/>
          <w:color w:val="auto"/>
        </w:rPr>
      </w:pPr>
    </w:p>
    <w:p>
      <w:pPr>
        <w:ind w:left="660" w:right="840"/>
        <w:spacing w:after="0" w:line="28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within our Commercial segment grew 3.1% to 2,266 as of June 30, 2024, compared to 2,198 as of June 30,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second quarter of 2024 increased $6.4 million, or 2.0%, over the second quarter of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 June 30,</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380" w:type="dxa"/>
            <w:vAlign w:val="bottom"/>
          </w:tcPr>
          <w:p>
            <w:pPr>
              <w:spacing w:after="0"/>
              <w:rPr>
                <w:sz w:val="20"/>
                <w:szCs w:val="20"/>
                <w:color w:val="auto"/>
              </w:rPr>
            </w:pPr>
          </w:p>
        </w:tc>
        <w:tc>
          <w:tcPr>
            <w:tcW w:w="244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248,605</w:t>
            </w:r>
          </w:p>
        </w:tc>
        <w:tc>
          <w:tcPr>
            <w:tcW w:w="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66.9%</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235,198</w:t>
            </w:r>
          </w:p>
        </w:tc>
        <w:tc>
          <w:tcPr>
            <w:tcW w:w="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9,427</w:t>
            </w:r>
          </w:p>
        </w:tc>
        <w:tc>
          <w:tcPr>
            <w:tcW w:w="8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gains, net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(15,917)</w:t>
            </w:r>
          </w:p>
        </w:tc>
        <w:tc>
          <w:tcPr>
            <w:tcW w:w="8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(15,294)</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321,614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86.5%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Direct costs increased $ 13.4 million, or 5.7%, to $ 248.6 million for the second quarter of 2024 from $235.2 million for the second quarter of 2023. The $13.4 million increase primarily related to a $20.0 million increase in compensation costs for our revenue-generating professionals and a $1.1 million increase in technology costs, partially offset by a $6.5 million decrease in contractor expenses. The increase in compensation costs reflects our investment to grow our talented team to meet increased market demand and is primarily attributable to a $20.7 million increase in salaries and related expenses driven by increased headcount and annual salary increases that went into effect in the first quarter of 2024. As a percentage of revenues, direct costs decreased to 66.9% during the second quarter of 2024, compared to</w:t>
      </w:r>
    </w:p>
    <w:p>
      <w:pPr>
        <w:spacing w:after="0" w:line="5"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67.8% during the second quarter of 2023. This decrease was primarily due to the decrease in contractor expenses; partially offset by an increase in compensation costs for our revenue-generating professionals, as a percentage of revenues.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Selling, general and administrative expenses increased by $6.8 million, or 10.5%, to $71.4 million in the second quarter of 2024 from $64.6 million in the second quarter of 2023. The $6.8 million increase primarily related to a $5.1 million increase in non-payroll costs, driven by a $2.3 million increase in bad debt expense, a $1.5 million increase in software and data hosting expense, and a $1.7 million increase in compensation costs for our support personnel. The increase in compensation costs for our support personnel was primarily driven by a $3.1 million increase in salaries and related expenses driven by increased headcount and annual salary increases that went into effect in the first quarter of 2024, partially offset by a $ 0.8 million decrease in performance bonus expense. As a percentage of revenues, selling, general and administrative expenses increased to 19.2% during the second quarter of 2024, compared to 18.6% during the second quarter of 2023, primarily attributable to an increase in bad debt expense, as a percentage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Gains, Net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gains, net totaled $15.9 million in the second quarter of 2024 compared to $0.6 million in the second quarter of 2023. The $15.9 million of other gains, net in the second quarter of 2024 consisted of a pre-tax $15.0 million litigation settlement gain for a completed legal matter for which Huron was the plaintiff, as well as $0.9 million of remeasurement gains to decrease the fair value of our contingent consideration liabilities related to business combinations. The $0.6 million of other gains, net in the second quarter of 2023 primarily consisted of remeasurement gains to decrease the fair value of our contingent consideration liabilities related to business combinations.</w:t>
      </w:r>
    </w:p>
    <w:p>
      <w:pPr>
        <w:spacing w:after="0" w:line="1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See Note 10 “Fair Value of Financial Instruments” within the notes to our consolidated financial statements for additional information on the fair value of contingent consideration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69"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Restructuring charges for the second quarter of 2024 were $2.1 million, compared to $1.7 million for the second quarter of 2023. In the second quarter of 2024, we exited the office space previously occupied by GG+A, which resulted in a $1.4 million non-cash impairment charge on the related right-of-use operating lease asset and fixed assets of that office space. Additionally, in the second quarter of 2024, we recognized $0.6 million of restructuring expense for rent and related expenses, net of sublease income, for previously vacated office spaces.</w:t>
      </w:r>
    </w:p>
    <w:p>
      <w:pPr>
        <w:spacing w:after="0" w:line="1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$1.7 million of restructuring charges recognized in the second quarter of 2023 included $0.9 million of employee-related expenses; $0.3 million related to the abandonment of a capitalized software development project; $0.2 million of rent and related expenses, net of sublease income, for previously vacated office spaces; and $0.2 million related to non-cash lease impairment charges driven by updated sublease assumptions for previously vacated office spaces.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6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Depreciation and amortization expense decreased $0.1 million, or 1.8%, to $6.0 million in the second quarter of 2024, compared to $6.1 million in the second quarter of 2023. The $0.1 million decrease in depreciation and amortization expense was primarily attributable to intangible assets acquired in business acquisitions that were fully amortized in prior periods and a decrease in amortization of intangible assets acquired in business acquisitions due to the accelerated basis of amortization in prior periods, partially offset by an an increase in amortization of intangible assets acquired in business acquisitions completed subsequent to the second quarter of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Operating income increased $19.7 million, or 49.6%, to $ 59.4 million in the second quarter of 2024 from $ 39.7 million in the second quarter of 2023. Operating margin, which is defined as operating income expressed as a percentage of revenues was 16.0% for the three months ended June 30, 2024, compared to 11.5% for the three months ended June 30, 2023.</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Three Months Ended June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400" w:type="dxa"/>
            <w:vAlign w:val="bottom"/>
          </w:tcPr>
          <w:p>
            <w:pPr>
              <w:spacing w:after="0"/>
              <w:rPr>
                <w:sz w:val="20"/>
                <w:szCs w:val="20"/>
                <w:color w:val="auto"/>
              </w:rPr>
            </w:pPr>
          </w:p>
        </w:tc>
        <w:tc>
          <w:tcPr>
            <w:tcW w:w="2340" w:type="dxa"/>
            <w:vAlign w:val="bottom"/>
            <w:gridSpan w:val="2"/>
          </w:tcPr>
          <w:p>
            <w:pPr>
              <w:jc w:val="right"/>
              <w:ind w:right="10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(Decrease)</w:t>
            </w:r>
          </w:p>
        </w:tc>
      </w:tr>
      <w:tr>
        <w:trPr>
          <w:trHeight w:val="223"/>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55,246</w:t>
            </w:r>
          </w:p>
        </w:tc>
        <w:tc>
          <w:tcPr>
            <w:tcW w:w="14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29.1%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49,151</w:t>
            </w: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rPr>
              <w:t>6,095</w:t>
            </w: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30,792</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27,397</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left="510"/>
              <w:spacing w:after="0"/>
              <w:rPr>
                <w:sz w:val="20"/>
                <w:szCs w:val="20"/>
                <w:color w:val="auto"/>
              </w:rPr>
            </w:pPr>
            <w:r>
              <w:rPr>
                <w:rFonts w:ascii="Arial" w:cs="Arial" w:eastAsia="Arial" w:hAnsi="Arial"/>
                <w:sz w:val="18"/>
                <w:szCs w:val="18"/>
                <w:color w:val="auto"/>
              </w:rPr>
              <w:t>3,395</w:t>
            </w: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8"/>
              </w:rPr>
              <w:t>(1,457)</w:t>
            </w: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95,053</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87,020</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rPr>
              <w:t>8,033</w:t>
            </w: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right="60" w:hanging="328"/>
        <w:spacing w:after="0" w:line="257" w:lineRule="auto"/>
        <w:tabs>
          <w:tab w:leader="none" w:pos="669"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$6.1 million, or 12.4%, primarily due to the increase in revenues and a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expenses; partially offset by increases in compensation costs for our revenue-generating professionals and bad debt expense. The increase in compensation costs for our revenue-generating professionals was primarily driven by an increase in headcount, annual salary increases that went into effect in the first quarter of 2024, and an increase in performance bonus expense. Healthcare operating margin increased to 29.1% from 28.3% primarily due to the decrease in contractor expenses; partially offset by increases in compensation costs for our revenue-generating professionals and bad debt expense, as percentages of revenues.</w:t>
      </w:r>
    </w:p>
    <w:p>
      <w:pPr>
        <w:spacing w:after="0" w:line="128" w:lineRule="exact"/>
        <w:rPr>
          <w:rFonts w:ascii="Arial" w:cs="Arial" w:eastAsia="Arial" w:hAnsi="Arial"/>
          <w:sz w:val="18"/>
          <w:szCs w:val="18"/>
          <w:b w:val="1"/>
          <w:bCs w:val="1"/>
          <w:i w:val="1"/>
          <w:iCs w:val="1"/>
          <w:color w:val="auto"/>
        </w:rPr>
      </w:pPr>
    </w:p>
    <w:p>
      <w:pPr>
        <w:ind w:left="660" w:right="20" w:hanging="328"/>
        <w:spacing w:after="0" w:line="256" w:lineRule="auto"/>
        <w:tabs>
          <w:tab w:leader="none" w:pos="669"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$3.4 million, or 12.4%, primarily due to the increase in revenues; partially offset by increases</w:t>
      </w:r>
      <w:r>
        <w:rPr>
          <w:rFonts w:ascii="Arial" w:cs="Arial" w:eastAsia="Arial" w:hAnsi="Arial"/>
          <w:sz w:val="18"/>
          <w:szCs w:val="18"/>
          <w:b w:val="1"/>
          <w:bCs w:val="1"/>
          <w:color w:val="auto"/>
        </w:rPr>
        <w:t xml:space="preserve"> </w:t>
      </w:r>
      <w:r>
        <w:rPr>
          <w:rFonts w:ascii="Arial" w:cs="Arial" w:eastAsia="Arial" w:hAnsi="Arial"/>
          <w:sz w:val="18"/>
          <w:szCs w:val="18"/>
          <w:color w:val="auto"/>
        </w:rPr>
        <w:t>in compensation costs for our revenue-generating professionals and support personnel. The increases in compensation costs for our revenue-generating professionals and support personnel were primarily driven by an increase in headcount and annual salary increases that went into effect in the first quarter of 2024, partially offset by a decrease in performance bonus expenses for our revenue-generating professionals. Education operating margin increased to 25.1% from 24.8% primarily driven by revenue growth that outpaced the increase in compensation costs for our revenue-generating professionals and a decrease in contractor expenses; partially offset by an increase in compensation costs for our support personnel, as a percentage of revenue.</w:t>
      </w:r>
    </w:p>
    <w:p>
      <w:pPr>
        <w:spacing w:after="0" w:line="128" w:lineRule="exact"/>
        <w:rPr>
          <w:rFonts w:ascii="Arial" w:cs="Arial" w:eastAsia="Arial" w:hAnsi="Arial"/>
          <w:sz w:val="18"/>
          <w:szCs w:val="18"/>
          <w:b w:val="1"/>
          <w:bCs w:val="1"/>
          <w:i w:val="1"/>
          <w:iCs w:val="1"/>
          <w:color w:val="auto"/>
        </w:rPr>
      </w:pPr>
    </w:p>
    <w:p>
      <w:pPr>
        <w:ind w:left="660" w:right="140" w:hanging="328"/>
        <w:spacing w:after="0" w:line="262" w:lineRule="auto"/>
        <w:tabs>
          <w:tab w:leader="none" w:pos="669"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decreased $1.5 million, or 14%, primarily due to the decrease in revenues, partially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decreases in restructuring charges and contractor expenses. Commercial operating margin decreased to 15.3% from 16.8% primarily due to an increase in compensation costs for our revenue-generating professionals, as a percentage of revenues; partially offset by decreases in restructuring charges and contractor expenses, as percentages of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1"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Interest expense, net of interest income increased $2.2 million to $8.0 million in the second quarter of 2024 from $5.8 million in the second quarter of 2023, which was primarily attributable to higher interest rates and higher levels of borrowing under our Amended Credit Facility during the second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quarter of 2024 compared to the second quarter of 2023. See “Liquidity and Capital Resources” below and Note 7 “Financing Arrangements” within the notes to our consolidated financial statements for additional information about our Amended Credit Facility.</w:t>
      </w:r>
    </w:p>
    <w:p>
      <w:pPr>
        <w:spacing w:after="0" w:line="9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Other income, net decreased $0.4 million to $0.6 million in the second quarter of 2024 from $ 1.1 million in the second quarter of 2023. The decrease in other income, net includes a $ 0.9 million decrease in the gain recognized for the market value of our investments that are used to fund our deferred compensation liability, partially offset by a $0.5 million increase in foreign currency transaction gains. During the second quarter of 2024 we recognized a $0.5 million gain for the market value of our deferred compensation investments compared to a $1.3 million gain recognized in the second quarter of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months ended June 30, 2024, our effective tax rate was 28.1% as we recognized income tax expense of $14.6 million on income of $52.1 million. The effective tax rate of 28.1% was less favorable than the statutory rate, inclusive of state income taxes, of 26.1%, primarily due to certain nondeductible expense items.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the three months ended June 30, 2023, our effective tax rate was 29.4% as we recognized income tax expense of $10.3 million on income of $35.0 million. The effective tax rate of 29.4% was less favorable than the statutory rate, inclusive of state income taxes, of 26.6%, primarily due to certain nondeductible expense items, partially offset by a tax benefit related to non-taxable gains on our investments used to fund our deferred compensation liability.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income increased $12.8 million, or 51.7%, to $37.5 million for the three months ended June 30, 2024 from $24.7 million for the same period last year, driven by the $11.1 million litigation settlement gain, net of tax, recognized in the second quarter of 2024 related to a completed legal matter for which Huron was the plaintiff. Diluted earnings per share for the second quarter of 2024 increased to $ 2.03 from $1.27 for the second quarter of 2023, driven by the increase in net income and a reduction in diluted shares outstanding resulting from share repurchases made under our share repurchase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EBITDA increased $19.2 million to $66.3 million for the second quarter of 2024 from $47.1 million for the second quarter of 2023. The increase in EBITDA was primarily attributable to the pre-tax $15.0 million litigation settlement gain recognized for a completed legal matter for which Huron was the plaintiff, as well as the increase in segment operating income.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Adjusted EBITDA increased $7.2 million to $55.7 million in the second quarter of 2024 from $48.5 million in the second quarter of 2023. The increase in adjusted EBITDA was primarily attributable to the increase in segment operating income, excluding the impact of segment restructuring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net income increased $4.0 million, or 14.8%, to $ 30.9 million in the second quarter of 2024, compared to $27.0 million in the second quarter of 2023. As a result of the increase in adjusted net income as well as a reduction in diluted shares outstanding resulting from share repurchases made under our share repurchase plan, adjusted diluted earnings per share increased to $1.68 for the second quarter of 2024 compared to $1.38 for the second quarter of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2024 Compared to Six Months Ended June 30,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six months ended June 30, 2024 and 2023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7"/>
                <w:szCs w:val="17"/>
                <w:color w:val="auto"/>
              </w:rPr>
            </w:pPr>
          </w:p>
        </w:tc>
        <w:tc>
          <w:tcPr>
            <w:tcW w:w="244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370,840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322,817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48,023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234,336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122,439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126,996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14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727,615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62,961</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419,898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374,449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45,449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307,717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17,512</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727,615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664,654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Revenues increased $63.0 million, or 9.5%, to $727.6 million for the first six months of 2024 from $664.7 million for the first six months of 2023. The overall increase in revenues reflects continued strength in demand for both our Consulting and Managed Services capability and Digital capability within Healthcare and Education, and reflects our focus on accelerating growth in our healthcare and education industries. These increases in demand were partially offset by a decrease in demand for Commercial's Digital capability. Additional information on our revenues by segment follows.</w:t>
      </w:r>
    </w:p>
    <w:p>
      <w:pPr>
        <w:spacing w:after="0" w:line="125" w:lineRule="exact"/>
        <w:rPr>
          <w:sz w:val="20"/>
          <w:szCs w:val="20"/>
          <w:color w:val="auto"/>
        </w:rPr>
      </w:pPr>
    </w:p>
    <w:p>
      <w:pPr>
        <w:ind w:left="660" w:right="140" w:hanging="328"/>
        <w:spacing w:after="0" w:line="257" w:lineRule="auto"/>
        <w:tabs>
          <w:tab w:leader="none" w:pos="669"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$48.0 million, or 14.9%, driven by continued strength in demand for our performance improvement,</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and innovation and culture and organizational excellence solutions within our Consulting and Managed Services capability, as well as strengthened demand for our technology and analytics services within our Digital capability. These increases in demand were partially offset by a decrease in demand for our revenue cycle managed services solution within our Consulting and Managed services capability. Revenues in the first six months of 2024 included $0.5 million of incremental revenues from our acquisition of Roundtable Analytics completed in September 2023.</w:t>
      </w:r>
    </w:p>
    <w:p>
      <w:pPr>
        <w:spacing w:after="0" w:line="128" w:lineRule="exact"/>
        <w:rPr>
          <w:rFonts w:ascii="Arial" w:cs="Arial" w:eastAsia="Arial" w:hAnsi="Arial"/>
          <w:sz w:val="18"/>
          <w:szCs w:val="18"/>
          <w:b w:val="1"/>
          <w:bCs w:val="1"/>
          <w:i w:val="1"/>
          <w:iCs w:val="1"/>
          <w:color w:val="auto"/>
        </w:rPr>
      </w:pPr>
    </w:p>
    <w:p>
      <w:pPr>
        <w:ind w:left="660" w:right="840"/>
        <w:spacing w:after="0" w:line="28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within our Healthcare segment grew 26.3% to 2,339 as of June 30, 2024, compared to 1,852 as of June 30, 2023.</w:t>
      </w:r>
    </w:p>
    <w:p>
      <w:pPr>
        <w:spacing w:after="0" w:line="98" w:lineRule="exact"/>
        <w:rPr>
          <w:rFonts w:ascii="Arial" w:cs="Arial" w:eastAsia="Arial" w:hAnsi="Arial"/>
          <w:sz w:val="18"/>
          <w:szCs w:val="18"/>
          <w:b w:val="1"/>
          <w:bCs w:val="1"/>
          <w:i w:val="1"/>
          <w:iCs w:val="1"/>
          <w:color w:val="auto"/>
        </w:rPr>
      </w:pPr>
    </w:p>
    <w:p>
      <w:pPr>
        <w:ind w:left="660" w:right="80" w:hanging="328"/>
        <w:spacing w:after="0" w:line="262" w:lineRule="auto"/>
        <w:tabs>
          <w:tab w:leader="none" w:pos="669"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increased $19.5 million, or 9.1%, and includes $8.1 million of incremental revenues from our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GG+A completed in March 2024. The increase in Education revenues was also driven by increases in demand for our strategy and operations solutions within our Consulting and Managed Services capability and our software products and technology and analytics services within our Digital capability.</w:t>
      </w:r>
    </w:p>
    <w:p>
      <w:pPr>
        <w:spacing w:after="0" w:line="122" w:lineRule="exact"/>
        <w:rPr>
          <w:rFonts w:ascii="Arial" w:cs="Arial" w:eastAsia="Arial" w:hAnsi="Arial"/>
          <w:sz w:val="18"/>
          <w:szCs w:val="18"/>
          <w:b w:val="1"/>
          <w:bCs w:val="1"/>
          <w:i w:val="1"/>
          <w:iCs w:val="1"/>
          <w:color w:val="auto"/>
        </w:rPr>
      </w:pPr>
    </w:p>
    <w:p>
      <w:pPr>
        <w:ind w:left="660" w:right="60"/>
        <w:spacing w:after="0" w:line="318"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number of revenue-generating professionals within our Education segment grew 10.6% to 1,243 as of June 30, 2024, compared to 1,124 as of June 30, 2023. Our acquisition of GG+A in March 2024 added approximately 70 revenue-generating professionals.</w:t>
      </w:r>
    </w:p>
    <w:p>
      <w:pPr>
        <w:spacing w:after="0" w:line="75" w:lineRule="exact"/>
        <w:rPr>
          <w:rFonts w:ascii="Arial" w:cs="Arial" w:eastAsia="Arial" w:hAnsi="Arial"/>
          <w:sz w:val="18"/>
          <w:szCs w:val="18"/>
          <w:b w:val="1"/>
          <w:bCs w:val="1"/>
          <w:i w:val="1"/>
          <w:iCs w:val="1"/>
          <w:color w:val="auto"/>
        </w:rPr>
      </w:pPr>
    </w:p>
    <w:p>
      <w:pPr>
        <w:ind w:left="660" w:right="60" w:hanging="328"/>
        <w:spacing w:after="0" w:line="291" w:lineRule="auto"/>
        <w:tabs>
          <w:tab w:leader="none" w:pos="669"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revenues decreased $4.6 million, or 3.6%, primarily due to decreases in demand for our technology and analytics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within our Digital capability and our strategy and innovation solution within our Consulting and Managed Services capability, partially offset by an increase in demand for our financial advisory solutions within our Consulting and Managed Services capability.</w:t>
      </w:r>
    </w:p>
    <w:p>
      <w:pPr>
        <w:spacing w:after="0" w:line="98" w:lineRule="exact"/>
        <w:rPr>
          <w:rFonts w:ascii="Arial" w:cs="Arial" w:eastAsia="Arial" w:hAnsi="Arial"/>
          <w:sz w:val="17"/>
          <w:szCs w:val="17"/>
          <w:b w:val="1"/>
          <w:bCs w:val="1"/>
          <w:i w:val="1"/>
          <w:iCs w:val="1"/>
          <w:color w:val="auto"/>
        </w:rPr>
      </w:pPr>
    </w:p>
    <w:p>
      <w:pPr>
        <w:ind w:left="660" w:right="840"/>
        <w:spacing w:after="0" w:line="287" w:lineRule="auto"/>
        <w:rPr>
          <w:rFonts w:ascii="Arial" w:cs="Arial" w:eastAsia="Arial" w:hAnsi="Arial"/>
          <w:sz w:val="17"/>
          <w:szCs w:val="17"/>
          <w:b w:val="1"/>
          <w:bCs w:val="1"/>
          <w:i w:val="1"/>
          <w:iCs w:val="1"/>
          <w:color w:val="auto"/>
        </w:rPr>
      </w:pPr>
      <w:r>
        <w:rPr>
          <w:rFonts w:ascii="Arial" w:cs="Arial" w:eastAsia="Arial" w:hAnsi="Arial"/>
          <w:sz w:val="18"/>
          <w:szCs w:val="18"/>
          <w:color w:val="auto"/>
        </w:rPr>
        <w:t>The number of revenue-generating professionals within our Commercial segment grew 3.1% to 2,266 as of June 30, 2024, compared to 2,198 as of June 30,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first six months of 2024 increased $41.9 million, or 6.7%, over the first six months of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6"/>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38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2023</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501,908</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69.0%</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463,581</w:t>
            </w:r>
          </w:p>
        </w:tc>
        <w:tc>
          <w:tcPr>
            <w:tcW w:w="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69.7%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17,614</w:t>
            </w: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gains, net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(14,161)</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Direct costs increased $ 38.3 million, or 8.3%, to $ 501.9 million for the first six months of 2024 from $463.6 million for the first six months of 2023. The $38.3 million increase primarily related to a $43.5 million increase in compensation costs for our revenue-generating professionals and a $2.2 million increase in technology costs, partially offset by a $5.9 million decrease in contractor expenses. The $43.5 million increase in compensation costs reflects our investment to grow our talented team to meet increased market demand and is primarily attributable to a $41.2 million increase in salaries and related expenses driven by increased headcount and annual salary increases that went into effect in the first quarter of 2024, a $1.8 million increase in performance bonus expense, and a $1.7 million increase in share-based compensation expense; partially offset by a $1.2 million decrease in signing, retention and other bonus expense. As a percentage of revenues, direct costs decreased to 69.0% during the first six months of 2024, compared to 69.7% during the first six months of 2023, primarily attributable to the decrease in contractor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Selling, general and administrative expenses increased by $17.6 million, or 13.9%, to $144.1 million in the first six months of 2024 from $126.5 million in the first six months of 2023. The $17.6 million increase primarily related to a $12.7 million increase in non-payroll costs, driven by a $4.0 million increase in legal expenses, a $3.2 million increase in practice administration and meetings expenses, a $2.3 million increase in bad debt expense, and a $2.1 million increase in software and data hosting expenses. The increase in legal expenses is driven by professional fees for a completed legal matter for which Huron was the plaintiff as well as professional fees for acquisition activity. Additionally, selling, general and administrative expenses increased $5.0 million due to an increase in compensation costs for our support personnel driven by a $6.9 increase in salaries and related expenses, partially offset by a $1.4 million decrease in performance bonus expense. As a percentage of revenues, selling, general and administrative expenses increased to 19.8% during the first six months of 2024, compared to 19.0% during the first six months of 2023. This increase was primarily attributable to increases in legal expenses and practice administration and meetings expenses, as percentages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Gains, Net</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Other gains, net totaled $14.3 million in the first six months of 2024 and $0.2 million in the first six months of 2023. The $14.3 million of other gains, net in the first six months of 2024 primarily consisted of a pre-tax $15.0 million litigation settlement gain for a completed legal matter for which Huron was the plaintiff. The $0.2 million of other gains, net in the first six months of 2023 primarily consisted of remeasurement gains to decrease the fair value of our contingent consideration liabilities related to business combinations.</w:t>
      </w:r>
    </w:p>
    <w:p>
      <w:pPr>
        <w:spacing w:after="0" w:line="12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See Note 10 “Fair Value of Financial Instruments” within the notes to our consolidated financial statements for additional information on the fair value of contingent consideration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Restructuring charges for the first six months of 2024 were $4.4 million, compared to $4.0 million for the first six months of 2023. In the second quarter of 2024, we exited the office space previously occupied by GG+A, which resulted in a $1.4 million non-cash impairment charge on the related right-of-use operating lease asset and fixed assets of that office space. Additionally, in the first six months of 2024, we recognized $1.1 million of rent and related expenses, net of sublease income, for previously vacated office spaces; $1.0 million of severance-related expenses; and $0.8 million related to non-cash lease impairment charges driven by updated sublease assumptions for our previously vacated office spaces.</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$4.0 million of restructuring charges incurred in the first six months of 2023 included a $1.9 million non-cash impairment charge on the fixed assets and right-of-use operating lease asset related to our office space in Hillsboro, Oregon, which we exited in the first quarter of 2023; $0.9 million of employee-related expenses; $0.6 million for rent and related expenses, net of sublease income, for previously vacated office spaces; $0.3 million related to the abandonment of a capitalized software development project; and $0.2 million related to non-cash lease impairment charges driven by updated sublease assumptions for previously vacated office spaces.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decreased $0.5 million, or 4.1%, to $ 12.0 million for the first six months of 2024, compared to $12.5 million for first six months of 2023. The $ 0.5 million decrease in depreciation and amortization expense was primarily attributable to intangible assets acquired in business acquisitions that were fully amortized in prior periods and a decrease in the amortization of intangible assets acquired in business acquisitions due to the accelerated basis of amortization in prior periods, partially offset by an an increase in amortization of intangible assets acquired in business acquisitions completed subsequent to the second quarter of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Operating income increased $21.2 million to $79.3 million in the first six months of 2024 from $58.2 million in the first six months of 2023. Operating margin, which is defined as operating income expressed as a percentage of revenues, increased to 10.9% for the first six months of 2024, compared to 8.7% for the first six months of 2023.</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Six Months Ended June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6"/>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3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97,940</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81,406</w:t>
            </w: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16,534</w:t>
            </w: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52,748</w:t>
            </w:r>
          </w:p>
        </w:tc>
        <w:tc>
          <w:tcPr>
            <w:tcW w:w="3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50,562</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2,186</w:t>
            </w:r>
          </w:p>
        </w:tc>
      </w:tr>
      <w:tr>
        <w:trPr>
          <w:trHeight w:val="23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173,742</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156,507</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17,235</w:t>
            </w: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right="20" w:hanging="328"/>
        <w:spacing w:after="0" w:line="255" w:lineRule="auto"/>
        <w:tabs>
          <w:tab w:leader="none" w:pos="669"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$16.5 million, or 20.3%, primarily due to the increase in revenues and a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expenses; partially offset by increases in compensation costs for our revenue-generating professionals, practice administration and meetings expenses, bad debt expense, technology costs, and compensation costs for our support personnel. The increases in compensation costs for our revenue-generating professionals and support personnel were primarily driven by an increase in headcount and annual salary increases that went into effect in the first quarter of 2024, as well as increases in performance bonus expense and share-based compensation expense for our revenue-generating professionals. Healthcare operating margin increased to 26.4% from 25.2% primarily due to the decrease in contractor expenses; partially offset by increases in practice administration and meetings expenses and bad debt expense, as percentages of revenues.</w:t>
      </w:r>
    </w:p>
    <w:p>
      <w:pPr>
        <w:spacing w:after="0" w:line="130" w:lineRule="exact"/>
        <w:rPr>
          <w:rFonts w:ascii="Arial" w:cs="Arial" w:eastAsia="Arial" w:hAnsi="Arial"/>
          <w:sz w:val="18"/>
          <w:szCs w:val="18"/>
          <w:b w:val="1"/>
          <w:bCs w:val="1"/>
          <w:i w:val="1"/>
          <w:iCs w:val="1"/>
          <w:color w:val="auto"/>
        </w:rPr>
      </w:pPr>
    </w:p>
    <w:p>
      <w:pPr>
        <w:ind w:left="660" w:right="220" w:hanging="328"/>
        <w:spacing w:after="0" w:line="256" w:lineRule="auto"/>
        <w:tabs>
          <w:tab w:leader="none" w:pos="669"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$2.2 million, or 4.3%, primarily due to the increase in revenues as well as a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expenses; partially offset by increases in compensation costs for our revenue-generating professionals and support personnel and technology costs. The increases in compensation costs for our revenue-generating professionals and support personnel were primarily driven by an increase in headcount and annual salary increases that went into effect in the first quarter of 2024; partially offset by a decrease in performance bonus expense for our revenue-generating professionals. Education operating margin decreased to 22.5% from 23.5% primarily driven by increases in compensation costs for our revenue-generating professionals and support personnel, as percentages of revenues; partially offset by the decrease in contractor expenses.</w:t>
      </w:r>
    </w:p>
    <w:p>
      <w:pPr>
        <w:spacing w:after="0" w:line="128" w:lineRule="exact"/>
        <w:rPr>
          <w:rFonts w:ascii="Arial" w:cs="Arial" w:eastAsia="Arial" w:hAnsi="Arial"/>
          <w:sz w:val="18"/>
          <w:szCs w:val="18"/>
          <w:b w:val="1"/>
          <w:bCs w:val="1"/>
          <w:i w:val="1"/>
          <w:iCs w:val="1"/>
          <w:color w:val="auto"/>
        </w:rPr>
      </w:pPr>
    </w:p>
    <w:p>
      <w:pPr>
        <w:ind w:left="660" w:right="300" w:hanging="328"/>
        <w:spacing w:after="0" w:line="25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decreased $1.5 million, or 6.1%, primarily due to the decrease in revenues, partially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decreases in restructuring charges and compensation costs for our revenue-generating professionals. The decrease in compensation costs for our revenue-generating professionals was primarily driven by a decrease in performance bonus expense. Commercial operating margin decreased to 18.8% from 19.3% primarily driven by an increase in compensation costs for our revenue-generating professionals, as a percentage of revenues; partially offset by a decrease in restructuring charges, as a percentage of revenues.</w:t>
      </w:r>
    </w:p>
    <w:p>
      <w:pPr>
        <w:sectPr>
          <w:pgSz w:w="11900" w:h="16838" w:orient="portrait"/>
          <w:cols w:equalWidth="0" w:num="1">
            <w:col w:w="11220"/>
          </w:cols>
          <w:pgMar w:left="320" w:top="121" w:right="359" w:bottom="10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expense, net of interest income increased $3.0 million to $13.1 million in the first six months of 2024 from $10.1 million in the first six months of 2023, which was primarily attributable to higher interest rates and higher levels of borrowing under our Amended Credit Facility during the first six months of 2024 compared to the first six months of 2023. See “Liquidity and Capital Resources” below and Note 7 “Financing Arrangements” within the notes to our consolidated financial statements for additional information about our senior secured credit facility.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increased $0.6 million to $3.4 million in the first six months of 2024 from $2.8 million in the first six months of 2023.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increase in other income, net was primarily attributable to a $1.0 million increase in foreign currency transaction gains, partially offset by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 million decrease in the gain recognized for the market value of our investments that are used to fund our deferred compensation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2024, we recognized a $2.8 million gain for the market value of our deferred compensation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compared to a $3.1 million gain recognized in the first six months of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six months ended June 30, 2024, our effective tax rate was 20.3% as we recognized income tax expense of $14.2 million on income of $69.7 million. The effective tax rate of 20.3% was more favorable than the statutory rate, inclusive of state income taxes, of 26.1%, primarily due to a discrete tax benefit for share-based compensation awards that vested during the first quarter of 2024 and a tax benefit related to non-taxable gains on our investments used to fund our deferred compensation liability. These favorable items were partially offset by certain nondeductible expense items.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six months ended June 30, 2023, our effective tax rate was 25.0% as we recognized income tax expense of $12.7 million on income of $50.8 million. The effective tax rate of 25.0% was more favorable than the statutory rate, inclusive of state income taxes, of 26.6%, primarily due to a discrete tax benefit for share-based compensation awards that vested during the first quarter of 2023 and a tax benefit related to non-taxable gains on our investments used to fund our deferred compensation liability. These favorable items were partially offset by certain nondeductible expense items.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 and Earnings per Share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increased $17.4 million, or 45.5%, to $55.5 million for the six months ended June 30, 2024 from $38.1 million for the same period last year. Net income for the first six months of 2024 includes the $11.1 million litigation settlement gain, net of tax, recognized in the second quarter of 2024 related to a completed legal matter for which Huron was the plaintiff. Diluted earnings per share for the six months ended June 30, 2024 increased to $2.96 compared to $1.95 for the six months ended June 30, 2023, driven by the increase in net income and a reduction in diluted shares outstanding resulting from share repurchases made under our share repurchase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EBITDA increased $21.4 million to $95.2 million for the six months ended June 30, 2024 from $73.8 million for the six months ended</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June 30, 2023. The increase in EBITDA was primarily attributable to the increase in segment operating income, as well as the pre-tax $15.0 million litigation settlement gain recognized for a completed legal matter for which Huron was the plaintiff; partially offset by the increase in corporate expenses, excluding the impact of the change in the market value of our deferred compensation liability.</w:t>
      </w:r>
    </w:p>
    <w:p>
      <w:pPr>
        <w:spacing w:after="0" w:line="12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Adjusted EBITDA increased $11.5 million to $89.5 million in the first six months of 2024 from $78.0 million in the first six months of 2023. The increase in adjusted EBITDA was primarily attributable to the increase in segment operating income, excluding the impact of segment restructuring charges; partially offset by the increase in corporate expenses, excluding the impacts of the change in the market value of our deferred compensation liability, corporate restructuring charges and transaction-related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71"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Adjusted net income increased $10.2 million, or 23.2%, to $54.2 million in the first six months of 2024 compared to $ 44.0 million in the first six months of 2023. Adjusted diluted earnings per share increased to $2.89 for the six months ended June 30, 2024, compared to $2.25 for the six months ended June 30, 2023, driven by the increase in adjusted net income and a reduction in diluted shares outstanding resulting from share repurchases made under our share repurchase plan.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and cash equivalents were $ 17.6 million and $12.1 million at June 30, 2024 and December 31, 2023, respectively. As of June 30, 2024, our primary sources of liquidity are cash on hand, cash flows from our U.S. operations, and borrowing capacity available under our credit facility.</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8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r>
      <w:tr>
        <w:trPr>
          <w:trHeight w:val="223"/>
        </w:trPr>
        <w:tc>
          <w:tcPr>
            <w:tcW w:w="8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(13,880)</w:t>
            </w:r>
          </w:p>
        </w:tc>
      </w:tr>
      <w:tr>
        <w:trPr>
          <w:trHeight w:val="230"/>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(15,763)</w:t>
            </w:r>
          </w:p>
        </w:tc>
      </w:tr>
      <w:tr>
        <w:trPr>
          <w:trHeight w:val="229"/>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34,333</w:t>
            </w:r>
          </w:p>
        </w:tc>
      </w:tr>
      <w:tr>
        <w:trPr>
          <w:trHeight w:val="230"/>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operating activities increased by $9.6 million to $23.5 million for the six months ended June 30, 2024 from $13.9 million for the six months ended June 30, 2023. The increase in net cash used in operating activities was primarily related to an increase in the amount paid for annual performance bonuses in the first quarter of 2024 compared to the first quarter of 2023, as well as increases in payments for salaries and related expenses for our revenue-generating professionals and selling, general and administrative expenses; partially offset by an increase in cash collections in the first six months of 2024 compared to the same prior year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a hospital-at-home company, and investments in life insurance policies that are used to fund our deferred compensation liability.</w:t>
      </w:r>
    </w:p>
    <w:p>
      <w:pPr>
        <w:spacing w:after="0" w:line="125"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Net cash used in investing activities was $39.7 million for the six months ended June 30, 2024, which primarily consisted of $20.8 million for the purchases of businesses; $14.1 million for payments related to internally developed software to advance our Healthcare and Education software products; $3.7 million for purchases of property and equipment, primarily related to purchases of computers and related equipment and leasehold improvements for certain office spaces; and $1.4 million for contributions to our life insurance policies.</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investing activities was $15.8 million for the six months ended June 30, 2023, which primarily consisted of $13.0 million for payments related to internally developed software to advance our Healthcare and Education software products; $3.7 million for purchases of property and equipment, primarily related to purchases of computers and related equipment; and $ 2.2 million for contributions to our life insurance polices. These uses of cash for investing activities were partially offset by $3.0 million of cash received for distributions from our life insurance policies that are used to fund our deferred compensation liability.</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2024 will total approximately $35 million to $40 million; primarily consisting of software development costs, leasehold improvements and furniture and fixtures for certain office locations, and information technology related equipment to support our corporate infrastructure.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provided by financing activities was $68.7 million for the six months ended June 30, 2024. During the six months ended June 30, 2024, we borrowed $618.5 million and made repayments on our borrowings of $430.9 million. The borrowings and repayments during the first three months of 2024 include the $275.0 million Term Loan proceeds which were used to repay borrowings under the Revolver. The net borrowings of $187.6 million were primarily used to fund our operations, including our annual performance bonus payments in the first quarter of 2024. Additionally, during the first six months of 2024, we paid $97.3 million for the settlement of share repurchases and we reacquired $ 21.1 million of common stock as a result of tax withholdings upon vesting of share-based compensation. We also made payments of $ 1.4 million for debt issuance costs related to the Term Loan. These uses of cash for financing activities were partially offset by $1.2 million of cash received from stock option exercises in the first six months of 2024.</w:t>
      </w:r>
    </w:p>
    <w:p>
      <w:pPr>
        <w:spacing w:after="0" w:line="13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Net cash provided by financing activities was $34.3 million for the six months ended June 30, 2023. During the six months ended June 30, 2023, we borrowed $230.0 million primarily to fund our operations, including our annual performance bonus payment in the first quarter of 2023, and made repayments on our borrowings of $125.0 million. Additionally, during the first six months of 2023, we paid $60.4 million for the settlement of share repurchases and we reacquired $ 9.7 million of common stock as a result of tax withholdings upon vesting of share-based compensation. We also made deferred acquisition payments of $1.5 million to the sellers of certain businesses we acquired. These payments were primarily the result of achieving specified financial performance targets in accordance with the related purchase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2021.The share repurchase program has been subsequently extended and increased, most recently in the second quarter of 2024. The current authorization extends the share repurchase program through December 31, 2025 with a repurchase amount of $500 million, of which $ 89.9 million remains available as of June 30, 2024.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2024, we had $511.6 million outstanding under our Amended Credit Agreement, as discussed below.</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was established in February 2024 with the execution of Amendment No. 2 to the Third Amended and Restated Credit Agreement. The Term Loan is subject to scheduled quarterly amortization payments of $3.4 million beginning June 30, 2024 through the maturity date of November 15, 2027, at which time the outstanding principal balance and all accrued interest will be due.</w:t>
      </w:r>
    </w:p>
    <w:p>
      <w:pPr>
        <w:spacing w:after="0" w:line="12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related to certain environmental, social and governance goals of the Company.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2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2" w:lineRule="exact"/>
        <w:rPr>
          <w:sz w:val="20"/>
          <w:szCs w:val="20"/>
          <w:color w:val="auto"/>
        </w:rPr>
      </w:pPr>
    </w:p>
    <w:p>
      <w:pPr>
        <w:ind w:right="220" w:firstLine="8"/>
        <w:spacing w:after="0" w:line="253"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w:t>
      </w:r>
    </w:p>
    <w:p>
      <w:pPr>
        <w:sectPr>
          <w:pgSz w:w="11900" w:h="16838" w:orient="portrait"/>
          <w:cols w:equalWidth="0" w:num="1">
            <w:col w:w="11220"/>
          </w:cols>
          <w:pgMar w:left="320" w:top="122" w:right="359" w:bottom="891"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891"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other specified items in accordance with the Amended Credit Agreement. For purposes of the Consolidated Leverage Ratio, total debt is on a gross basis and is not netted against our cash balances. At June 30, 2024 and December 31, 2023, we were in compliance with these financial covenants. Our Consolidated Leverage Ratio as of June 30, 2024 was 2.24 to 1.00, compared to 1.59 to 1.00 as of December 31, 2023. Our Consolidated Interest Coverage Ratio as of June 30, 2024 was 10.55 to 1.00, compared to 10.85 to 1.00 as of December 31, 2023.</w:t>
      </w:r>
    </w:p>
    <w:p>
      <w:pPr>
        <w:spacing w:after="0" w:line="125"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Borrowings outstanding under the Amended Credit Agreement at June 30, 2024 and December 31, 2023 totaled $511.6 million and</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$324.0 million, respectively. Of the $511.6 million outstanding as of June 30, 2024, $240.0 million was outstanding under the Revolver and $271.6 million was outstanding under the Term Loan. There were no borrowings outstanding under the Term Loan at December 31, 2023. These borrowings carried a weighted average interest rate of 5.2% at June 30, 2024 and 4.2% at December 31, 2023, including the impact of the interest rate swaps described in Note 9 “Derivative Instruments and Hedging Activity” within the notes to the consolidated financial statements.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borrowing capacity under the Revolver is reduced by any outstanding borrowings under the Revolver and outstanding letters of credit. At June 30, 2024, we had outstanding letters of credit totaling $0.6 million, which are used as security deposits for our office facilities. As of June 30, 2024, the unused borrowing capacity under the Revolver was $359.4 million.</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Refer to Note 7 “Financing Arrangements” for additional information on our senior secured credit facility within the notes to the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Financing Needs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primary financing need is to fund our long-term growth. Our growth strategy is to expand our service offerings, which may require investments in new hires, acquisitions of complementary businesses, possible expansion into other geographic areas, and related capital expenditures.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2023. There have been no material changes to our critical accounting policies during the six months ended June 30, 2024.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See Note 3 “New Accounting Pronouncements” within the notes to the consolidated financial statements for information on new accounting pronouncements.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exposure to changes in interest rates associated with borrowings under our senior secured credit facility. At our option, these borrowings bear interest at one, three or six month Term SOFR or, in the case of the Revolver, an alternate base rate. At June 30, 2024, we had borrowings outstanding under the credit facility totaling $511.6 million that carried a weighted average interest rate of 5.2%, including the impact of the interest rate swaps described below. A hypothetical 100 basis point change in the interest rate would have a $2.1 million effect on our pretax income on an annualized basis, including the effect of the interest rate swaps. At December 31, 2023, we had borrowings outstanding under the credit facility totaling $324.0 million that carried a weighted average interest rate of 4.2% including the impact of the interest rate swaps described below. A hypothetical 100 basis point change in the interest rate would have had a $0.7 million effect on our pretax income on an annualized basis, including the effect of the interest rate swaps.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June 30, 2024 and December 31, 2023, the aggregate notional amount of our forward interest rate swap agreements was $300.0 million and $250.0 million, respectively. The outstanding interest rate swap agreements as of June 30, 2024 are scheduled to mature on a staggered basis through January 31, 2029.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As of June 30, 2024 and December 31, 2023, the aggregate notional amounts of these contracts were INR 629.2 million, or $7.5 million, and INR 1,375.7 million, or $16.6 million, respectively, based on the exchange rates in effect as of each period end. The outstanding foreign exchange forward contracts as of June 30, 2024 are scheduled to mature monthly through April 30, 2025.</w:t>
      </w:r>
    </w:p>
    <w:p>
      <w:pPr>
        <w:spacing w:after="0" w:line="12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reflect the offsetting gain or loss on the underlying exposure. A hypothetical 100 basis point change in the foreign currency exchange rate between the USD and INR would have an immaterial impact on the fair value of our hedge instruments as of June 30, 2024 and December 31,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June 30, 2024, the fair value of the investment was $57.6 million, with a total cost basis of $40.9 million. At December 31, 2023, the fair value of the investment was $68.0 million, with a total cost basis of $40.9 million.</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 preferred stock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June 30, 2024 and December 31, 2023, the carrying value of the investment was $7.4 million with a total cost basis of $5.0 million.</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9 “Derivative Instruments and Hedging Activity” within the notes to our consolidated financial statements for additional information on our derivative instruments.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2024. Based on this evaluation, our Chief Executive Officer and Chief Financial Officer have concluded that, as of June 30, 2024,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2024 that has materially affected, or is reasonably likely to materially affect, our internal control over financial reporting.</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6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6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2023, which was filed with the Securities and Exchange Commission on February 27, 2024, for a complete description of the material risks we face.</w:t>
      </w:r>
    </w:p>
    <w:p>
      <w:pPr>
        <w:spacing w:after="0" w:line="13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Stock Ownership Participation Program and 2012 Omnibus Incentive Plan permit the netting of common stock upon vesting of restricted stock awards to satisfy individual tax withholding requirements. During the quarter ended June 30, 2024, we reacquired 1,627 shares of common stock with a weighted average fair market value of $93.88 as a result of such tax withholdings.</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second quarter of 2024. The current authorization extends the share repurchase program through December 31, 2025 with a repurchase amount of $500 million, of which $89.9 million remains available as of June 30, 2024.The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2024.</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89"/>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5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3700" w:type="dxa"/>
            <w:vAlign w:val="bottom"/>
            <w:gridSpan w:val="2"/>
            <w:vMerge w:val="continue"/>
          </w:tcPr>
          <w:p>
            <w:pPr>
              <w:spacing w:after="0"/>
              <w:rPr>
                <w:sz w:val="19"/>
                <w:szCs w:val="19"/>
                <w:color w:val="auto"/>
              </w:rPr>
            </w:pPr>
          </w:p>
        </w:tc>
        <w:tc>
          <w:tcPr>
            <w:tcW w:w="158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 per Share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jc w:val="center"/>
              <w:ind w:right="70"/>
              <w:spacing w:after="0" w:line="230"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2024 - April 30, 2024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154,762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153,135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9,474,528</w:t>
            </w: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May 1, 2024 - May 31, 2024</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223,358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87.39</w:t>
            </w:r>
          </w:p>
        </w:tc>
        <w:tc>
          <w:tcPr>
            <w:tcW w:w="1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223,358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89,948,343</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2024 -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89,948,343</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378,120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980" w:right="20" w:hanging="972"/>
        <w:spacing w:after="0" w:line="281" w:lineRule="auto"/>
        <w:tabs>
          <w:tab w:leader="none" w:pos="10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repurchased included 1,627 shares in April 2024 to satisfy employee tax withholding requirements. These shares do not reduce the repurchase authority under the share repurchase program.</w:t>
      </w:r>
    </w:p>
    <w:p>
      <w:pPr>
        <w:spacing w:after="0" w:line="1" w:lineRule="exact"/>
        <w:rPr>
          <w:rFonts w:ascii="Arial" w:cs="Arial" w:eastAsia="Arial" w:hAnsi="Arial"/>
          <w:sz w:val="18"/>
          <w:szCs w:val="18"/>
          <w:color w:val="auto"/>
        </w:rPr>
      </w:pPr>
    </w:p>
    <w:p>
      <w:pPr>
        <w:ind w:left="1020" w:hanging="101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end of the period.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describes contracts, instructions or written plans for the sale or purchase of our securities adopted by our executive officers and/or directors during the second quarter of 2024, each of which is intended to satisfy the affirmative defense conditions of Rule 10b5-1(c), referred to as Rule 10b5-1 trading plans.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Date of Rule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Scheduled Expiration</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5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and Title</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9"/>
              </w:rPr>
              <w:t>Action</w:t>
            </w:r>
          </w:p>
        </w:tc>
        <w:tc>
          <w:tcPr>
            <w:tcW w:w="16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10b5-1 Trading</w:t>
            </w:r>
          </w:p>
        </w:tc>
        <w:tc>
          <w:tcPr>
            <w:tcW w:w="20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Date of Rule 10b5-1</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43"/>
        </w:trPr>
        <w:tc>
          <w:tcPr>
            <w:tcW w:w="5000" w:type="dxa"/>
            <w:vAlign w:val="bottom"/>
            <w:gridSpan w:val="2"/>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Plan Action</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Trading Plan</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to be Sold</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 Eugene Lockhart - Director</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Adoption</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5/9/2024</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7/31/2025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James Roth - Vice Chairman of the Board</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rPr>
              <w:t>Adoption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5/18/2024</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4/1/2025</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43,030</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Debra Zumwalt - Director</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Adoption</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5/21/2024</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4/30/2025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886</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second quarter of 2024, none of our executive officers or directors terminated contracts, instructions or written plans for the sale or purchase of our securities intended to satisfy the affirmative defense condition of Rule 10b5-1(c) or adopted or terminated a non-Rule 10b5-1 trading arrangement (as defined in Item 408(c) of Regulation S-K).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21" w:lineRule="exact"/>
        <w:rPr>
          <w:sz w:val="20"/>
          <w:szCs w:val="20"/>
          <w:color w:val="auto"/>
        </w:rPr>
      </w:pPr>
    </w:p>
    <w:p>
      <w:pPr>
        <w:jc w:val="right"/>
        <w:ind w:right="960"/>
        <w:spacing w:after="0"/>
        <w:rPr>
          <w:sz w:val="20"/>
          <w:szCs w:val="20"/>
          <w:color w:val="auto"/>
        </w:rPr>
      </w:pPr>
      <w:r>
        <w:rPr>
          <w:rFonts w:ascii="Arial" w:cs="Arial" w:eastAsia="Arial" w:hAnsi="Arial"/>
          <w:sz w:val="14"/>
          <w:szCs w:val="14"/>
          <w:b w:val="1"/>
          <w:bCs w:val="1"/>
          <w:color w:val="auto"/>
        </w:rPr>
        <w:t>Incorporated by Reference</w:t>
      </w:r>
    </w:p>
    <w:p>
      <w:pPr>
        <w:sectPr>
          <w:pgSz w:w="11900" w:h="16838" w:orient="portrait"/>
          <w:cols w:equalWidth="0" w:num="1">
            <w:col w:w="11240"/>
          </w:cols>
          <w:pgMar w:left="320" w:top="122" w:right="339" w:bottom="1440" w:gutter="0" w:footer="0" w:header="0"/>
        </w:sectPr>
      </w:pP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960" w:type="dxa"/>
            <w:vAlign w:val="bottom"/>
            <w:gridSpan w:val="2"/>
            <w:vMerge w:val="restart"/>
          </w:tcPr>
          <w:p>
            <w:pPr>
              <w:ind w:left="154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84"/>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6"/>
                <w:szCs w:val="16"/>
                <w:color w:val="auto"/>
              </w:rPr>
              <w:t>3.1</w:t>
            </w:r>
          </w:p>
        </w:tc>
        <w:tc>
          <w:tcPr>
            <w:tcW w:w="3960" w:type="dxa"/>
            <w:vAlign w:val="bottom"/>
            <w:tcBorders>
              <w:bottom w:val="single" w:sz="8" w:color="0000FF"/>
            </w:tcBorders>
            <w:gridSpan w:val="2"/>
          </w:tcPr>
          <w:p>
            <w:pPr>
              <w:spacing w:after="0" w:line="176" w:lineRule="exact"/>
              <w:rPr>
                <w:rFonts w:ascii="Arial" w:cs="Arial" w:eastAsia="Arial" w:hAnsi="Arial"/>
                <w:sz w:val="16"/>
                <w:szCs w:val="16"/>
                <w:color w:val="0000FF"/>
              </w:rPr>
            </w:pPr>
            <w:hyperlink r:id="rId72">
              <w:r>
                <w:rPr>
                  <w:rFonts w:ascii="Arial" w:cs="Arial" w:eastAsia="Arial" w:hAnsi="Arial"/>
                  <w:sz w:val="16"/>
                  <w:szCs w:val="16"/>
                  <w:color w:val="0000FF"/>
                </w:rPr>
                <w:t>Amendment to Huron Consulting Group Inc.'s Restated</w:t>
              </w:r>
            </w:hyperlink>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580" w:type="dxa"/>
            <w:vAlign w:val="bottom"/>
            <w:tcBorders>
              <w:bottom w:val="single" w:sz="8" w:color="0000FF"/>
            </w:tcBorders>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Certificate of Incorporation, effective May 3, 2024.</w:t>
              </w:r>
            </w:hyperlink>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Filed</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Furnished</w:t>
            </w: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vMerge w:val="restart"/>
          </w:tcPr>
          <w:p>
            <w:pPr>
              <w:spacing w:after="0"/>
              <w:rPr>
                <w:sz w:val="12"/>
                <w:szCs w:val="12"/>
                <w:color w:val="auto"/>
              </w:rPr>
            </w:pPr>
          </w:p>
        </w:tc>
        <w:tc>
          <w:tcPr>
            <w:tcW w:w="760" w:type="dxa"/>
            <w:vAlign w:val="bottom"/>
            <w:tcBorders>
              <w:top w:val="single" w:sz="8" w:color="auto"/>
            </w:tcBorders>
            <w:gridSpan w:val="2"/>
          </w:tcPr>
          <w:p>
            <w:pPr>
              <w:ind w:left="100"/>
              <w:spacing w:after="0" w:line="149" w:lineRule="exact"/>
              <w:rPr>
                <w:sz w:val="20"/>
                <w:szCs w:val="20"/>
                <w:color w:val="auto"/>
              </w:rPr>
            </w:pPr>
            <w:r>
              <w:rPr>
                <w:rFonts w:ascii="Arial" w:cs="Arial" w:eastAsia="Arial" w:hAnsi="Arial"/>
                <w:sz w:val="14"/>
                <w:szCs w:val="14"/>
                <w:b w:val="1"/>
                <w:bCs w:val="1"/>
                <w:color w:val="auto"/>
              </w:rPr>
              <w:t>Period</w:t>
            </w: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2"/>
                <w:szCs w:val="12"/>
                <w:color w:val="auto"/>
              </w:rPr>
            </w:pPr>
          </w:p>
        </w:tc>
        <w:tc>
          <w:tcPr>
            <w:tcW w:w="9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85"/>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Ending</w:t>
            </w: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DEF 14A</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rPr>
              <w:t>Appendix A</w:t>
            </w:r>
          </w:p>
        </w:tc>
        <w:tc>
          <w:tcPr>
            <w:tcW w:w="980" w:type="dxa"/>
            <w:vAlign w:val="bottom"/>
          </w:tcPr>
          <w:p>
            <w:pPr>
              <w:jc w:val="center"/>
              <w:spacing w:after="0"/>
              <w:rPr>
                <w:sz w:val="20"/>
                <w:szCs w:val="20"/>
                <w:color w:val="auto"/>
              </w:rPr>
            </w:pPr>
            <w:r>
              <w:rPr>
                <w:rFonts w:ascii="Arial" w:cs="Arial" w:eastAsia="Arial" w:hAnsi="Arial"/>
                <w:sz w:val="16"/>
                <w:szCs w:val="16"/>
                <w:color w:val="auto"/>
              </w:rPr>
              <w:t>3/22/2024</w:t>
            </w: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2">
            <w:col w:w="4900" w:space="720"/>
            <w:col w:w="562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10.1*</w:t>
            </w:r>
          </w:p>
        </w:tc>
        <w:tc>
          <w:tcPr>
            <w:tcW w:w="4560" w:type="dxa"/>
            <w:vAlign w:val="bottom"/>
            <w:gridSpan w:val="11"/>
          </w:tcPr>
          <w:p>
            <w:pPr>
              <w:spacing w:after="0"/>
              <w:rPr>
                <w:rFonts w:ascii="Arial" w:cs="Arial" w:eastAsia="Arial" w:hAnsi="Arial"/>
                <w:sz w:val="16"/>
                <w:szCs w:val="16"/>
                <w:color w:val="0000FF"/>
              </w:rPr>
            </w:pPr>
            <w:hyperlink r:id="rId72">
              <w:r>
                <w:rPr>
                  <w:rFonts w:ascii="Arial" w:cs="Arial" w:eastAsia="Arial" w:hAnsi="Arial"/>
                  <w:sz w:val="16"/>
                  <w:szCs w:val="16"/>
                  <w:color w:val="0000FF"/>
                </w:rPr>
                <w:t>Amendment to Huron Consulting Group Inc.'s Amended and</w:t>
              </w:r>
            </w:hyperlink>
          </w:p>
        </w:tc>
        <w:tc>
          <w:tcPr>
            <w:tcW w:w="3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42"/>
        </w:trPr>
        <w:tc>
          <w:tcPr>
            <w:tcW w:w="920" w:type="dxa"/>
            <w:vAlign w:val="bottom"/>
          </w:tcPr>
          <w:p>
            <w:pPr>
              <w:spacing w:after="0"/>
              <w:rPr>
                <w:sz w:val="12"/>
                <w:szCs w:val="12"/>
                <w:color w:val="auto"/>
              </w:rPr>
            </w:pPr>
          </w:p>
        </w:tc>
        <w:tc>
          <w:tcPr>
            <w:tcW w:w="432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Restated Stock Ownership Participation Plan, effective May</w:t>
              </w:r>
            </w:hyperlink>
          </w:p>
        </w:tc>
        <w:tc>
          <w:tcPr>
            <w:tcW w:w="240" w:type="dxa"/>
            <w:vAlign w:val="bottom"/>
            <w:gridSpan w:val="2"/>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3,</w:t>
              </w:r>
            </w:hyperlink>
          </w:p>
        </w:tc>
        <w:tc>
          <w:tcPr>
            <w:tcW w:w="3260" w:type="dxa"/>
            <w:vAlign w:val="bottom"/>
          </w:tcPr>
          <w:p>
            <w:pPr>
              <w:ind w:left="2100"/>
              <w:spacing w:after="0" w:line="142" w:lineRule="exact"/>
              <w:rPr>
                <w:sz w:val="20"/>
                <w:szCs w:val="20"/>
                <w:color w:val="auto"/>
              </w:rPr>
            </w:pPr>
            <w:r>
              <w:rPr>
                <w:rFonts w:ascii="Arial" w:cs="Arial" w:eastAsia="Arial" w:hAnsi="Arial"/>
                <w:sz w:val="16"/>
                <w:szCs w:val="16"/>
                <w:color w:val="auto"/>
              </w:rPr>
              <w:t>DEF 14A</w:t>
            </w:r>
          </w:p>
        </w:tc>
        <w:tc>
          <w:tcPr>
            <w:tcW w:w="1480" w:type="dxa"/>
            <w:vAlign w:val="bottom"/>
          </w:tcPr>
          <w:p>
            <w:pPr>
              <w:ind w:left="520"/>
              <w:spacing w:after="0" w:line="142" w:lineRule="exact"/>
              <w:rPr>
                <w:sz w:val="20"/>
                <w:szCs w:val="20"/>
                <w:color w:val="auto"/>
              </w:rPr>
            </w:pPr>
            <w:r>
              <w:rPr>
                <w:rFonts w:ascii="Arial" w:cs="Arial" w:eastAsia="Arial" w:hAnsi="Arial"/>
                <w:sz w:val="16"/>
                <w:szCs w:val="16"/>
                <w:color w:val="auto"/>
              </w:rPr>
              <w:t>Appendix B</w:t>
            </w:r>
          </w:p>
        </w:tc>
        <w:tc>
          <w:tcPr>
            <w:tcW w:w="880" w:type="dxa"/>
            <w:vAlign w:val="bottom"/>
          </w:tcPr>
          <w:p>
            <w:pPr>
              <w:jc w:val="right"/>
              <w:spacing w:after="0" w:line="142" w:lineRule="exact"/>
              <w:rPr>
                <w:sz w:val="20"/>
                <w:szCs w:val="20"/>
                <w:color w:val="auto"/>
              </w:rPr>
            </w:pPr>
            <w:r>
              <w:rPr>
                <w:rFonts w:ascii="Arial" w:cs="Arial" w:eastAsia="Arial" w:hAnsi="Arial"/>
                <w:sz w:val="16"/>
                <w:szCs w:val="16"/>
                <w:color w:val="auto"/>
              </w:rPr>
              <w:t>3/22/2024</w:t>
            </w:r>
          </w:p>
        </w:tc>
      </w:tr>
      <w:tr>
        <w:trPr>
          <w:trHeight w:val="142"/>
        </w:trPr>
        <w:tc>
          <w:tcPr>
            <w:tcW w:w="9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r:id="rId72">
              <w:r>
                <w:rPr>
                  <w:rFonts w:ascii="Arial" w:cs="Arial" w:eastAsia="Arial" w:hAnsi="Arial"/>
                  <w:sz w:val="16"/>
                  <w:szCs w:val="16"/>
                  <w:color w:val="0000FF"/>
                  <w:w w:val="94"/>
                </w:rPr>
                <w:t>2024.</w:t>
              </w:r>
            </w:hyperlink>
          </w:p>
        </w:tc>
        <w:tc>
          <w:tcPr>
            <w:tcW w:w="16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7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4560" w:type="dxa"/>
            <w:vAlign w:val="bottom"/>
            <w:gridSpan w:val="11"/>
          </w:tcPr>
          <w:p>
            <w:pPr>
              <w:spacing w:after="0"/>
              <w:rPr>
                <w:sz w:val="20"/>
                <w:szCs w:val="20"/>
                <w:color w:val="auto"/>
              </w:rPr>
            </w:pPr>
            <w:r>
              <w:rPr>
                <w:rFonts w:ascii="Arial" w:cs="Arial" w:eastAsia="Arial" w:hAnsi="Arial"/>
                <w:sz w:val="16"/>
                <w:szCs w:val="16"/>
                <w:color w:val="0000FF"/>
              </w:rPr>
              <w:t>Certification of the Chief Executive Officer, pursuant to Rule</w:t>
            </w:r>
          </w:p>
        </w:tc>
        <w:tc>
          <w:tcPr>
            <w:tcW w:w="3260" w:type="dxa"/>
            <w:vAlign w:val="bottom"/>
          </w:tcPr>
          <w:p>
            <w:pPr>
              <w:ind w:left="460"/>
              <w:spacing w:after="0"/>
              <w:rPr>
                <w:sz w:val="20"/>
                <w:szCs w:val="20"/>
                <w:color w:val="auto"/>
              </w:rPr>
            </w:pPr>
            <w:r>
              <w:rPr>
                <w:rFonts w:ascii="Arial" w:cs="Arial" w:eastAsia="Arial" w:hAnsi="Arial"/>
                <w:sz w:val="16"/>
                <w:szCs w:val="16"/>
                <w:color w:val="auto"/>
              </w:rPr>
              <w:t>X</w:t>
            </w: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13a-14(a)/15d-14(a), as adopted pursuant to Section 302 of</w:t>
            </w:r>
          </w:p>
        </w:tc>
        <w:tc>
          <w:tcPr>
            <w:tcW w:w="40" w:type="dxa"/>
            <w:vAlign w:val="bottom"/>
            <w:tcBorders>
              <w:bottom w:val="single" w:sz="8" w:color="0000FF"/>
            </w:tcBorders>
          </w:tcPr>
          <w:p>
            <w:pPr>
              <w:spacing w:after="0"/>
              <w:rPr>
                <w:sz w:val="12"/>
                <w:szCs w:val="12"/>
                <w:color w:val="auto"/>
              </w:rPr>
            </w:pPr>
          </w:p>
        </w:tc>
        <w:tc>
          <w:tcPr>
            <w:tcW w:w="260" w:type="dxa"/>
            <w:vAlign w:val="bottom"/>
            <w:tcBorders>
              <w:bottom w:val="single" w:sz="8" w:color="0000FF"/>
            </w:tcBorders>
            <w:gridSpan w:val="3"/>
          </w:tcPr>
          <w:p>
            <w:pPr>
              <w:ind w:left="20"/>
              <w:spacing w:after="0" w:line="142" w:lineRule="exact"/>
              <w:rPr>
                <w:sz w:val="20"/>
                <w:szCs w:val="20"/>
                <w:color w:val="auto"/>
              </w:rPr>
            </w:pPr>
            <w:r>
              <w:rPr>
                <w:rFonts w:ascii="Arial" w:cs="Arial" w:eastAsia="Arial" w:hAnsi="Arial"/>
                <w:sz w:val="16"/>
                <w:szCs w:val="16"/>
                <w:color w:val="0000FF"/>
                <w:w w:val="98"/>
              </w:rPr>
              <w:t>the</w:t>
            </w: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0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480" w:type="dxa"/>
            <w:vAlign w:val="bottom"/>
            <w:gridSpan w:val="9"/>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42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the Chief Financial Officer, pursuant to Rule</w:t>
            </w:r>
          </w:p>
        </w:tc>
        <w:tc>
          <w:tcPr>
            <w:tcW w:w="340" w:type="dxa"/>
            <w:vAlign w:val="bottom"/>
            <w:gridSpan w:val="5"/>
          </w:tcPr>
          <w:p>
            <w:pPr>
              <w:spacing w:after="0"/>
              <w:rPr>
                <w:sz w:val="17"/>
                <w:szCs w:val="17"/>
                <w:color w:val="auto"/>
              </w:rPr>
            </w:pPr>
          </w:p>
        </w:tc>
        <w:tc>
          <w:tcPr>
            <w:tcW w:w="3260" w:type="dxa"/>
            <w:vAlign w:val="bottom"/>
          </w:tcPr>
          <w:p>
            <w:pPr>
              <w:ind w:left="460"/>
              <w:spacing w:after="0"/>
              <w:rPr>
                <w:sz w:val="20"/>
                <w:szCs w:val="20"/>
                <w:color w:val="auto"/>
              </w:rPr>
            </w:pPr>
            <w:r>
              <w:rPr>
                <w:rFonts w:ascii="Arial" w:cs="Arial" w:eastAsia="Arial" w:hAnsi="Arial"/>
                <w:sz w:val="16"/>
                <w:szCs w:val="16"/>
                <w:color w:val="auto"/>
              </w:rPr>
              <w:t>X</w:t>
            </w: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4560" w:type="dxa"/>
            <w:vAlign w:val="bottom"/>
            <w:tcBorders>
              <w:bottom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13a-14(a)/15d-14(a), as adopted pursuant to Section 302 of the</w:t>
            </w: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08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480" w:type="dxa"/>
            <w:vAlign w:val="bottom"/>
            <w:gridSpan w:val="9"/>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4560" w:type="dxa"/>
            <w:vAlign w:val="bottom"/>
            <w:gridSpan w:val="11"/>
          </w:tcPr>
          <w:p>
            <w:pPr>
              <w:spacing w:after="0"/>
              <w:rPr>
                <w:sz w:val="20"/>
                <w:szCs w:val="20"/>
                <w:color w:val="auto"/>
              </w:rPr>
            </w:pPr>
            <w:r>
              <w:rPr>
                <w:rFonts w:ascii="Arial" w:cs="Arial" w:eastAsia="Arial" w:hAnsi="Arial"/>
                <w:sz w:val="16"/>
                <w:szCs w:val="16"/>
                <w:color w:val="0000FF"/>
              </w:rPr>
              <w:t>Certification of the Chief Executive Officer, pursuant to 18</w:t>
            </w:r>
          </w:p>
        </w:tc>
        <w:tc>
          <w:tcPr>
            <w:tcW w:w="3260" w:type="dxa"/>
            <w:vAlign w:val="bottom"/>
          </w:tcPr>
          <w:p>
            <w:pPr>
              <w:ind w:left="1380"/>
              <w:spacing w:after="0"/>
              <w:rPr>
                <w:sz w:val="20"/>
                <w:szCs w:val="20"/>
                <w:color w:val="auto"/>
              </w:rPr>
            </w:pPr>
            <w:r>
              <w:rPr>
                <w:rFonts w:ascii="Arial" w:cs="Arial" w:eastAsia="Arial" w:hAnsi="Arial"/>
                <w:sz w:val="16"/>
                <w:szCs w:val="16"/>
                <w:color w:val="auto"/>
              </w:rPr>
              <w:t>X</w:t>
            </w: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412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U.S.C. Section 1350, as adopted pursuant to Section 906</w:t>
            </w:r>
          </w:p>
        </w:tc>
        <w:tc>
          <w:tcPr>
            <w:tcW w:w="440" w:type="dxa"/>
            <w:vAlign w:val="bottom"/>
            <w:gridSpan w:val="6"/>
          </w:tcPr>
          <w:p>
            <w:pPr>
              <w:ind w:left="40"/>
              <w:spacing w:after="0" w:line="142" w:lineRule="exact"/>
              <w:rPr>
                <w:sz w:val="20"/>
                <w:szCs w:val="20"/>
                <w:color w:val="auto"/>
              </w:rPr>
            </w:pPr>
            <w:r>
              <w:rPr>
                <w:rFonts w:ascii="Arial" w:cs="Arial" w:eastAsia="Arial" w:hAnsi="Arial"/>
                <w:sz w:val="16"/>
                <w:szCs w:val="16"/>
                <w:color w:val="0000FF"/>
              </w:rPr>
              <w:t>of</w:t>
            </w: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30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260" w:type="dxa"/>
            <w:vAlign w:val="bottom"/>
            <w:gridSpan w:val="3"/>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32.2</w:t>
            </w:r>
          </w:p>
        </w:tc>
        <w:tc>
          <w:tcPr>
            <w:tcW w:w="4560" w:type="dxa"/>
            <w:vAlign w:val="bottom"/>
            <w:gridSpan w:val="11"/>
          </w:tcPr>
          <w:p>
            <w:pPr>
              <w:spacing w:after="0"/>
              <w:rPr>
                <w:sz w:val="20"/>
                <w:szCs w:val="20"/>
                <w:color w:val="auto"/>
              </w:rPr>
            </w:pPr>
            <w:r>
              <w:rPr>
                <w:rFonts w:ascii="Arial" w:cs="Arial" w:eastAsia="Arial" w:hAnsi="Arial"/>
                <w:sz w:val="16"/>
                <w:szCs w:val="16"/>
                <w:color w:val="0000FF"/>
              </w:rPr>
              <w:t>Certification of the Chief Financial Officer, pursuant to 18</w:t>
            </w:r>
          </w:p>
        </w:tc>
        <w:tc>
          <w:tcPr>
            <w:tcW w:w="3260" w:type="dxa"/>
            <w:vAlign w:val="bottom"/>
          </w:tcPr>
          <w:p>
            <w:pPr>
              <w:ind w:left="1380"/>
              <w:spacing w:after="0"/>
              <w:rPr>
                <w:sz w:val="20"/>
                <w:szCs w:val="20"/>
                <w:color w:val="auto"/>
              </w:rPr>
            </w:pPr>
            <w:r>
              <w:rPr>
                <w:rFonts w:ascii="Arial" w:cs="Arial" w:eastAsia="Arial" w:hAnsi="Arial"/>
                <w:sz w:val="16"/>
                <w:szCs w:val="16"/>
                <w:color w:val="auto"/>
              </w:rPr>
              <w:t>X</w:t>
            </w: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42"/>
        </w:trPr>
        <w:tc>
          <w:tcPr>
            <w:tcW w:w="920" w:type="dxa"/>
            <w:vAlign w:val="bottom"/>
          </w:tcPr>
          <w:p>
            <w:pPr>
              <w:spacing w:after="0"/>
              <w:rPr>
                <w:sz w:val="12"/>
                <w:szCs w:val="12"/>
                <w:color w:val="auto"/>
              </w:rPr>
            </w:pPr>
          </w:p>
        </w:tc>
        <w:tc>
          <w:tcPr>
            <w:tcW w:w="406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9"/>
              </w:rPr>
              <w:t>U.S.C. Section 1350, as adopted pursuant to Section 906</w:t>
            </w:r>
          </w:p>
        </w:tc>
        <w:tc>
          <w:tcPr>
            <w:tcW w:w="500" w:type="dxa"/>
            <w:vAlign w:val="bottom"/>
            <w:gridSpan w:val="7"/>
          </w:tcPr>
          <w:p>
            <w:pPr>
              <w:ind w:left="100"/>
              <w:spacing w:after="0" w:line="142" w:lineRule="exact"/>
              <w:rPr>
                <w:sz w:val="20"/>
                <w:szCs w:val="20"/>
                <w:color w:val="auto"/>
              </w:rPr>
            </w:pPr>
            <w:r>
              <w:rPr>
                <w:rFonts w:ascii="Arial" w:cs="Arial" w:eastAsia="Arial" w:hAnsi="Arial"/>
                <w:sz w:val="16"/>
                <w:szCs w:val="16"/>
                <w:color w:val="0000FF"/>
              </w:rPr>
              <w:t>of</w:t>
            </w: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30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260" w:type="dxa"/>
            <w:vAlign w:val="bottom"/>
            <w:gridSpan w:val="3"/>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Arial" w:cs="Arial" w:eastAsia="Arial" w:hAnsi="Arial"/>
                <w:sz w:val="16"/>
                <w:szCs w:val="16"/>
                <w:color w:val="auto"/>
              </w:rPr>
              <w:t>101.INS</w:t>
            </w:r>
          </w:p>
        </w:tc>
        <w:tc>
          <w:tcPr>
            <w:tcW w:w="4560" w:type="dxa"/>
            <w:vAlign w:val="bottom"/>
            <w:gridSpan w:val="11"/>
          </w:tcPr>
          <w:p>
            <w:pPr>
              <w:spacing w:after="0" w:line="183" w:lineRule="exact"/>
              <w:rPr>
                <w:sz w:val="20"/>
                <w:szCs w:val="20"/>
                <w:color w:val="auto"/>
              </w:rPr>
            </w:pPr>
            <w:r>
              <w:rPr>
                <w:rFonts w:ascii="Arial" w:cs="Arial" w:eastAsia="Arial" w:hAnsi="Arial"/>
                <w:sz w:val="16"/>
                <w:szCs w:val="16"/>
                <w:color w:val="auto"/>
              </w:rPr>
              <w:t>Inline XBRL Instance Document - the instance document does</w:t>
            </w:r>
          </w:p>
        </w:tc>
        <w:tc>
          <w:tcPr>
            <w:tcW w:w="3260" w:type="dxa"/>
            <w:vAlign w:val="bottom"/>
          </w:tcPr>
          <w:p>
            <w:pPr>
              <w:ind w:left="460"/>
              <w:spacing w:after="0" w:line="183" w:lineRule="exact"/>
              <w:rPr>
                <w:sz w:val="20"/>
                <w:szCs w:val="20"/>
                <w:color w:val="auto"/>
              </w:rPr>
            </w:pPr>
            <w:r>
              <w:rPr>
                <w:rFonts w:ascii="Arial" w:cs="Arial" w:eastAsia="Arial" w:hAnsi="Arial"/>
                <w:sz w:val="16"/>
                <w:szCs w:val="16"/>
                <w:color w:val="auto"/>
              </w:rPr>
              <w:t>X</w:t>
            </w: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920" w:type="dxa"/>
            <w:vAlign w:val="bottom"/>
          </w:tcPr>
          <w:p>
            <w:pPr>
              <w:spacing w:after="0"/>
              <w:rPr>
                <w:sz w:val="14"/>
                <w:szCs w:val="14"/>
                <w:color w:val="auto"/>
              </w:rPr>
            </w:pPr>
          </w:p>
        </w:tc>
        <w:tc>
          <w:tcPr>
            <w:tcW w:w="4560" w:type="dxa"/>
            <w:vAlign w:val="bottom"/>
            <w:gridSpan w:val="11"/>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3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920" w:type="dxa"/>
            <w:vAlign w:val="bottom"/>
          </w:tcPr>
          <w:p>
            <w:pPr>
              <w:spacing w:after="0"/>
              <w:rPr>
                <w:sz w:val="18"/>
                <w:szCs w:val="18"/>
                <w:color w:val="auto"/>
              </w:rPr>
            </w:pPr>
          </w:p>
        </w:tc>
        <w:tc>
          <w:tcPr>
            <w:tcW w:w="4560" w:type="dxa"/>
            <w:vAlign w:val="bottom"/>
            <w:gridSpan w:val="11"/>
          </w:tcPr>
          <w:p>
            <w:pPr>
              <w:spacing w:after="0"/>
              <w:rPr>
                <w:sz w:val="20"/>
                <w:szCs w:val="20"/>
                <w:color w:val="auto"/>
              </w:rPr>
            </w:pPr>
            <w:r>
              <w:rPr>
                <w:rFonts w:ascii="Arial" w:cs="Arial" w:eastAsia="Arial" w:hAnsi="Arial"/>
                <w:sz w:val="16"/>
                <w:szCs w:val="16"/>
                <w:color w:val="auto"/>
              </w:rPr>
              <w:t>are embedded within the Inline XBRL document.</w:t>
            </w: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6"/>
                <w:szCs w:val="16"/>
                <w:color w:val="auto"/>
              </w:rPr>
              <w:t>101.SCH</w:t>
            </w:r>
          </w:p>
        </w:tc>
        <w:tc>
          <w:tcPr>
            <w:tcW w:w="456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3260" w:type="dxa"/>
            <w:vAlign w:val="bottom"/>
          </w:tcPr>
          <w:p>
            <w:pPr>
              <w:ind w:left="460"/>
              <w:spacing w:after="0"/>
              <w:rPr>
                <w:sz w:val="20"/>
                <w:szCs w:val="20"/>
                <w:color w:val="auto"/>
              </w:rPr>
            </w:pPr>
            <w:r>
              <w:rPr>
                <w:rFonts w:ascii="Arial" w:cs="Arial" w:eastAsia="Arial" w:hAnsi="Arial"/>
                <w:sz w:val="16"/>
                <w:szCs w:val="16"/>
                <w:color w:val="auto"/>
              </w:rPr>
              <w:t>X</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4"/>
        </w:trPr>
        <w:tc>
          <w:tcPr>
            <w:tcW w:w="920" w:type="dxa"/>
            <w:vAlign w:val="bottom"/>
          </w:tcPr>
          <w:p>
            <w:pPr>
              <w:spacing w:after="0" w:line="164" w:lineRule="exact"/>
              <w:rPr>
                <w:sz w:val="20"/>
                <w:szCs w:val="20"/>
                <w:color w:val="auto"/>
              </w:rPr>
            </w:pPr>
            <w:r>
              <w:rPr>
                <w:rFonts w:ascii="Arial" w:cs="Arial" w:eastAsia="Arial" w:hAnsi="Arial"/>
                <w:sz w:val="16"/>
                <w:szCs w:val="16"/>
                <w:color w:val="auto"/>
              </w:rPr>
              <w:t>101.CAL</w:t>
            </w:r>
          </w:p>
        </w:tc>
        <w:tc>
          <w:tcPr>
            <w:tcW w:w="4560" w:type="dxa"/>
            <w:vAlign w:val="bottom"/>
            <w:gridSpan w:val="11"/>
          </w:tcPr>
          <w:p>
            <w:pPr>
              <w:spacing w:after="0" w:line="164" w:lineRule="exact"/>
              <w:rPr>
                <w:sz w:val="20"/>
                <w:szCs w:val="20"/>
                <w:color w:val="auto"/>
              </w:rPr>
            </w:pPr>
            <w:r>
              <w:rPr>
                <w:rFonts w:ascii="Arial" w:cs="Arial" w:eastAsia="Arial" w:hAnsi="Arial"/>
                <w:sz w:val="16"/>
                <w:szCs w:val="16"/>
                <w:color w:val="auto"/>
              </w:rPr>
              <w:t>Inline XBRL Taxonomy Extension Calculation Link base</w:t>
            </w:r>
          </w:p>
        </w:tc>
        <w:tc>
          <w:tcPr>
            <w:tcW w:w="326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920" w:type="dxa"/>
            <w:vAlign w:val="bottom"/>
          </w:tcPr>
          <w:p>
            <w:pPr>
              <w:spacing w:after="0"/>
              <w:rPr>
                <w:sz w:val="18"/>
                <w:szCs w:val="18"/>
                <w:color w:val="auto"/>
              </w:rPr>
            </w:pPr>
          </w:p>
        </w:tc>
        <w:tc>
          <w:tcPr>
            <w:tcW w:w="456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6"/>
                <w:szCs w:val="16"/>
                <w:color w:val="auto"/>
              </w:rPr>
              <w:t>101.LAB</w:t>
            </w:r>
          </w:p>
        </w:tc>
        <w:tc>
          <w:tcPr>
            <w:tcW w:w="456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3260" w:type="dxa"/>
            <w:vAlign w:val="bottom"/>
          </w:tcPr>
          <w:p>
            <w:pPr>
              <w:ind w:left="460"/>
              <w:spacing w:after="0"/>
              <w:rPr>
                <w:sz w:val="20"/>
                <w:szCs w:val="20"/>
                <w:color w:val="auto"/>
              </w:rPr>
            </w:pPr>
            <w:r>
              <w:rPr>
                <w:rFonts w:ascii="Arial" w:cs="Arial" w:eastAsia="Arial" w:hAnsi="Arial"/>
                <w:sz w:val="16"/>
                <w:szCs w:val="16"/>
                <w:color w:val="auto"/>
              </w:rPr>
              <w:t>X</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4"/>
        </w:trPr>
        <w:tc>
          <w:tcPr>
            <w:tcW w:w="920" w:type="dxa"/>
            <w:vAlign w:val="bottom"/>
          </w:tcPr>
          <w:p>
            <w:pPr>
              <w:spacing w:after="0" w:line="164" w:lineRule="exact"/>
              <w:rPr>
                <w:sz w:val="20"/>
                <w:szCs w:val="20"/>
                <w:color w:val="auto"/>
              </w:rPr>
            </w:pPr>
            <w:r>
              <w:rPr>
                <w:rFonts w:ascii="Arial" w:cs="Arial" w:eastAsia="Arial" w:hAnsi="Arial"/>
                <w:sz w:val="16"/>
                <w:szCs w:val="16"/>
                <w:color w:val="auto"/>
              </w:rPr>
              <w:t>101.PRE</w:t>
            </w:r>
          </w:p>
        </w:tc>
        <w:tc>
          <w:tcPr>
            <w:tcW w:w="4560" w:type="dxa"/>
            <w:vAlign w:val="bottom"/>
            <w:gridSpan w:val="11"/>
          </w:tcPr>
          <w:p>
            <w:pPr>
              <w:spacing w:after="0" w:line="164" w:lineRule="exact"/>
              <w:rPr>
                <w:sz w:val="20"/>
                <w:szCs w:val="20"/>
                <w:color w:val="auto"/>
              </w:rPr>
            </w:pPr>
            <w:r>
              <w:rPr>
                <w:rFonts w:ascii="Arial" w:cs="Arial" w:eastAsia="Arial" w:hAnsi="Arial"/>
                <w:sz w:val="16"/>
                <w:szCs w:val="16"/>
                <w:color w:val="auto"/>
              </w:rPr>
              <w:t>Inline XBRL Taxonomy Extension Presentation Linkbase</w:t>
            </w:r>
          </w:p>
        </w:tc>
        <w:tc>
          <w:tcPr>
            <w:tcW w:w="326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920" w:type="dxa"/>
            <w:vAlign w:val="bottom"/>
          </w:tcPr>
          <w:p>
            <w:pPr>
              <w:spacing w:after="0"/>
              <w:rPr>
                <w:sz w:val="18"/>
                <w:szCs w:val="18"/>
                <w:color w:val="auto"/>
              </w:rPr>
            </w:pPr>
          </w:p>
        </w:tc>
        <w:tc>
          <w:tcPr>
            <w:tcW w:w="456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3"/>
        </w:trPr>
        <w:tc>
          <w:tcPr>
            <w:tcW w:w="920" w:type="dxa"/>
            <w:vAlign w:val="bottom"/>
          </w:tcPr>
          <w:p>
            <w:pPr>
              <w:spacing w:after="0" w:line="164" w:lineRule="exact"/>
              <w:rPr>
                <w:sz w:val="20"/>
                <w:szCs w:val="20"/>
                <w:color w:val="auto"/>
              </w:rPr>
            </w:pPr>
            <w:r>
              <w:rPr>
                <w:rFonts w:ascii="Arial" w:cs="Arial" w:eastAsia="Arial" w:hAnsi="Arial"/>
                <w:sz w:val="16"/>
                <w:szCs w:val="16"/>
                <w:color w:val="auto"/>
              </w:rPr>
              <w:t>101.DEF</w:t>
            </w:r>
          </w:p>
        </w:tc>
        <w:tc>
          <w:tcPr>
            <w:tcW w:w="4560" w:type="dxa"/>
            <w:vAlign w:val="bottom"/>
            <w:gridSpan w:val="11"/>
          </w:tcPr>
          <w:p>
            <w:pPr>
              <w:spacing w:after="0" w:line="164" w:lineRule="exact"/>
              <w:rPr>
                <w:sz w:val="20"/>
                <w:szCs w:val="20"/>
                <w:color w:val="auto"/>
              </w:rPr>
            </w:pPr>
            <w:r>
              <w:rPr>
                <w:rFonts w:ascii="Arial" w:cs="Arial" w:eastAsia="Arial" w:hAnsi="Arial"/>
                <w:sz w:val="16"/>
                <w:szCs w:val="16"/>
                <w:color w:val="auto"/>
              </w:rPr>
              <w:t>Inline XBRL Taxonomy Extension Definition Linkbase</w:t>
            </w:r>
          </w:p>
        </w:tc>
        <w:tc>
          <w:tcPr>
            <w:tcW w:w="326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920" w:type="dxa"/>
            <w:vAlign w:val="bottom"/>
          </w:tcPr>
          <w:p>
            <w:pPr>
              <w:spacing w:after="0"/>
              <w:rPr>
                <w:sz w:val="18"/>
                <w:szCs w:val="18"/>
                <w:color w:val="auto"/>
              </w:rPr>
            </w:pPr>
          </w:p>
        </w:tc>
        <w:tc>
          <w:tcPr>
            <w:tcW w:w="456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3"/>
        </w:trPr>
        <w:tc>
          <w:tcPr>
            <w:tcW w:w="92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4560" w:type="dxa"/>
            <w:vAlign w:val="bottom"/>
            <w:gridSpan w:val="11"/>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3260" w:type="dxa"/>
            <w:vAlign w:val="bottom"/>
          </w:tcPr>
          <w:p>
            <w:pPr>
              <w:ind w:left="460"/>
              <w:spacing w:after="0" w:line="164" w:lineRule="exact"/>
              <w:rPr>
                <w:sz w:val="20"/>
                <w:szCs w:val="20"/>
                <w:color w:val="auto"/>
              </w:rPr>
            </w:pPr>
            <w:r>
              <w:rPr>
                <w:rFonts w:ascii="Arial" w:cs="Arial" w:eastAsia="Arial" w:hAnsi="Arial"/>
                <w:sz w:val="16"/>
                <w:szCs w:val="16"/>
                <w:color w:val="auto"/>
              </w:rPr>
              <w:t>X</w:t>
            </w: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5"/>
        </w:trPr>
        <w:tc>
          <w:tcPr>
            <w:tcW w:w="920" w:type="dxa"/>
            <w:vAlign w:val="bottom"/>
          </w:tcPr>
          <w:p>
            <w:pPr>
              <w:spacing w:after="0"/>
              <w:rPr>
                <w:sz w:val="18"/>
                <w:szCs w:val="18"/>
                <w:color w:val="auto"/>
              </w:rPr>
            </w:pPr>
          </w:p>
        </w:tc>
        <w:tc>
          <w:tcPr>
            <w:tcW w:w="4560" w:type="dxa"/>
            <w:vAlign w:val="bottom"/>
            <w:gridSpan w:val="11"/>
          </w:tcPr>
          <w:p>
            <w:pPr>
              <w:spacing w:after="0"/>
              <w:rPr>
                <w:sz w:val="20"/>
                <w:szCs w:val="20"/>
                <w:color w:val="auto"/>
              </w:rPr>
            </w:pPr>
            <w:r>
              <w:rPr>
                <w:rFonts w:ascii="Arial" w:cs="Arial" w:eastAsia="Arial" w:hAnsi="Arial"/>
                <w:sz w:val="16"/>
                <w:szCs w:val="16"/>
                <w:color w:val="auto"/>
              </w:rPr>
              <w:t>contained in Exhibit 101)</w:t>
            </w: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44" w:lineRule="exact"/>
        <w:rPr>
          <w:sz w:val="20"/>
          <w:szCs w:val="20"/>
          <w:color w:val="auto"/>
        </w:rPr>
      </w:pPr>
    </w:p>
    <w:p>
      <w:pPr>
        <w:ind w:left="940" w:hanging="914"/>
        <w:spacing w:after="0"/>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Indicates the exhibit is a management contract or compensatory plan or arrangement.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32"/>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49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440"/>
              <w:spacing w:after="0"/>
              <w:rPr>
                <w:sz w:val="20"/>
                <w:szCs w:val="20"/>
                <w:color w:val="auto"/>
              </w:rPr>
            </w:pPr>
            <w:r>
              <w:rPr>
                <w:rFonts w:ascii="Arial" w:cs="Arial" w:eastAsia="Arial" w:hAnsi="Arial"/>
                <w:sz w:val="18"/>
                <w:szCs w:val="18"/>
                <w:color w:val="auto"/>
              </w:rPr>
              <w:t>July 30, 2024</w:t>
            </w:r>
          </w:p>
        </w:tc>
        <w:tc>
          <w:tcPr>
            <w:tcW w:w="5200" w:type="dxa"/>
            <w:vAlign w:val="bottom"/>
          </w:tcPr>
          <w:p>
            <w:pPr>
              <w:jc w:val="center"/>
              <w:spacing w:after="0"/>
              <w:rPr>
                <w:sz w:val="20"/>
                <w:szCs w:val="20"/>
                <w:color w:val="auto"/>
              </w:rPr>
            </w:pPr>
            <w:r>
              <w:rPr>
                <w:rFonts w:ascii="Arial" w:cs="Arial" w:eastAsia="Arial" w:hAnsi="Arial"/>
                <w:sz w:val="18"/>
                <w:szCs w:val="18"/>
                <w:color w:val="auto"/>
              </w:rPr>
              <w:t>/s/  JOHN D. KELLY</w:t>
            </w:r>
          </w:p>
        </w:tc>
      </w:tr>
      <w:tr>
        <w:trPr>
          <w:trHeight w:val="218"/>
        </w:trPr>
        <w:tc>
          <w:tcPr>
            <w:tcW w:w="68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r>
        <w:trPr>
          <w:trHeight w:val="181"/>
        </w:trPr>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200" w:type="dxa"/>
            <w:vAlign w:val="bottom"/>
          </w:tcPr>
          <w:p>
            <w:pPr>
              <w:ind w:left="1560"/>
              <w:spacing w:after="0" w:line="181" w:lineRule="exact"/>
              <w:rPr>
                <w:sz w:val="20"/>
                <w:szCs w:val="20"/>
                <w:color w:val="auto"/>
              </w:rPr>
            </w:pPr>
            <w:r>
              <w:rPr>
                <w:rFonts w:ascii="Arial" w:cs="Arial" w:eastAsia="Arial" w:hAnsi="Arial"/>
                <w:sz w:val="18"/>
                <w:szCs w:val="18"/>
                <w:color w:val="auto"/>
              </w:rPr>
              <w:t>Executive Vice President,</w:t>
            </w:r>
          </w:p>
        </w:tc>
      </w:tr>
      <w:tr>
        <w:trPr>
          <w:trHeight w:val="239"/>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2"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73"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6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68" w:lineRule="auto"/>
        <w:tabs>
          <w:tab w:leader="none" w:pos="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8"/>
          <w:szCs w:val="18"/>
          <w:color w:val="auto"/>
        </w:rPr>
      </w:pPr>
    </w:p>
    <w:p>
      <w:pPr>
        <w:ind w:left="340" w:right="160" w:hanging="332"/>
        <w:spacing w:after="0" w:line="298" w:lineRule="auto"/>
        <w:tabs>
          <w:tab w:leader="none" w:pos="3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276" w:lineRule="auto"/>
        <w:tabs>
          <w:tab w:leader="none" w:pos="3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7"/>
          <w:szCs w:val="17"/>
          <w:color w:val="auto"/>
        </w:rPr>
      </w:pPr>
    </w:p>
    <w:p>
      <w:pPr>
        <w:ind w:left="660" w:right="60" w:hanging="328"/>
        <w:spacing w:after="0" w:line="268"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660" w:right="100" w:hanging="328"/>
        <w:spacing w:after="0" w:line="268"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660" w:right="60" w:hanging="328"/>
        <w:spacing w:after="0" w:line="268" w:lineRule="auto"/>
        <w:tabs>
          <w:tab w:leader="none" w:pos="6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660" w:right="360" w:hanging="328"/>
        <w:spacing w:after="0" w:line="268"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8"/>
          <w:szCs w:val="18"/>
          <w:color w:val="auto"/>
        </w:rPr>
      </w:pPr>
    </w:p>
    <w:p>
      <w:pPr>
        <w:ind w:left="340" w:right="100" w:hanging="332"/>
        <w:spacing w:after="0" w:line="268" w:lineRule="auto"/>
        <w:tabs>
          <w:tab w:leader="none" w:pos="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ind w:left="660" w:right="240" w:hanging="328"/>
        <w:spacing w:after="0" w:line="281"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July 30, 2024</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 MARK HUSSEY</w:t>
            </w:r>
          </w:p>
        </w:tc>
      </w:tr>
      <w:tr>
        <w:trPr>
          <w:trHeight w:val="218"/>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 Mark Hussey</w:t>
            </w:r>
          </w:p>
        </w:tc>
      </w:tr>
      <w:tr>
        <w:trPr>
          <w:trHeight w:val="239"/>
        </w:trPr>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bl>
    <w:p>
      <w:pPr>
        <w:sectPr>
          <w:pgSz w:w="11900" w:h="16838" w:orient="portrait"/>
          <w:cols w:equalWidth="0" w:num="1">
            <w:col w:w="11240"/>
          </w:cols>
          <w:pgMar w:left="320" w:top="89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73"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68" w:lineRule="auto"/>
        <w:tabs>
          <w:tab w:leader="none" w:pos="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8"/>
          <w:szCs w:val="18"/>
          <w:color w:val="auto"/>
        </w:rPr>
      </w:pPr>
    </w:p>
    <w:p>
      <w:pPr>
        <w:ind w:left="340" w:right="160" w:hanging="332"/>
        <w:spacing w:after="0" w:line="298" w:lineRule="auto"/>
        <w:tabs>
          <w:tab w:leader="none" w:pos="3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276" w:lineRule="auto"/>
        <w:tabs>
          <w:tab w:leader="none" w:pos="3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7"/>
          <w:szCs w:val="17"/>
          <w:color w:val="auto"/>
        </w:rPr>
      </w:pPr>
    </w:p>
    <w:p>
      <w:pPr>
        <w:ind w:left="660" w:right="60" w:hanging="328"/>
        <w:spacing w:after="0" w:line="268"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660" w:right="100" w:hanging="328"/>
        <w:spacing w:after="0" w:line="268"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660" w:right="60" w:hanging="328"/>
        <w:spacing w:after="0" w:line="268" w:lineRule="auto"/>
        <w:tabs>
          <w:tab w:leader="none" w:pos="67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660" w:right="360" w:hanging="328"/>
        <w:spacing w:after="0" w:line="268"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8"/>
          <w:szCs w:val="18"/>
          <w:color w:val="auto"/>
        </w:rPr>
      </w:pPr>
    </w:p>
    <w:p>
      <w:pPr>
        <w:ind w:left="340" w:right="100" w:hanging="332"/>
        <w:spacing w:after="0" w:line="268" w:lineRule="auto"/>
        <w:tabs>
          <w:tab w:leader="none" w:pos="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ind w:left="660" w:right="240" w:hanging="328"/>
        <w:spacing w:after="0" w:line="281"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July 30, 2024</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18"/>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1"/>
        </w:trPr>
        <w:tc>
          <w:tcPr>
            <w:tcW w:w="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760" w:type="dxa"/>
            <w:vAlign w:val="bottom"/>
          </w:tcPr>
          <w:p>
            <w:pPr>
              <w:jc w:val="center"/>
              <w:spacing w:after="0" w:line="181" w:lineRule="exact"/>
              <w:rPr>
                <w:sz w:val="20"/>
                <w:szCs w:val="20"/>
                <w:color w:val="auto"/>
              </w:rPr>
            </w:pPr>
            <w:r>
              <w:rPr>
                <w:rFonts w:ascii="Arial" w:cs="Arial" w:eastAsia="Arial" w:hAnsi="Arial"/>
                <w:sz w:val="18"/>
                <w:szCs w:val="18"/>
                <w:color w:val="auto"/>
                <w:w w:val="98"/>
              </w:rPr>
              <w:t>Executive Vice President,</w:t>
            </w:r>
          </w:p>
        </w:tc>
      </w:tr>
      <w:tr>
        <w:trPr>
          <w:trHeight w:val="239"/>
        </w:trPr>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9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0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 2024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spacing w:after="0" w:line="122" w:lineRule="exact"/>
        <w:rPr>
          <w:sz w:val="20"/>
          <w:szCs w:val="20"/>
          <w:color w:val="auto"/>
        </w:rPr>
      </w:pPr>
    </w:p>
    <w:p>
      <w:pPr>
        <w:ind w:left="840" w:hanging="346"/>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87" w:lineRule="auto"/>
        <w:tabs>
          <w:tab w:leader="none" w:pos="8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July 30, 2024</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 MARK HUSSEY</w:t>
            </w:r>
          </w:p>
        </w:tc>
      </w:tr>
      <w:tr>
        <w:trPr>
          <w:trHeight w:val="218"/>
        </w:trPr>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 Mark Hussey</w:t>
            </w:r>
          </w:p>
        </w:tc>
      </w:tr>
      <w:tr>
        <w:trPr>
          <w:trHeight w:val="239"/>
        </w:trPr>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bl>
    <w:p>
      <w:pPr>
        <w:spacing w:after="0" w:line="139"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9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w:t>
      </w:r>
    </w:p>
    <w:p>
      <w:pPr>
        <w:spacing w:after="0" w:line="27"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2024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24" w:lineRule="exact"/>
        <w:rPr>
          <w:sz w:val="20"/>
          <w:szCs w:val="20"/>
          <w:color w:val="auto"/>
        </w:rPr>
      </w:pPr>
    </w:p>
    <w:p>
      <w:pPr>
        <w:ind w:left="840" w:hanging="346"/>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87" w:lineRule="auto"/>
        <w:tabs>
          <w:tab w:leader="none" w:pos="8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July 30, 2024</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18"/>
        </w:trPr>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1"/>
        </w:trPr>
        <w:tc>
          <w:tcPr>
            <w:tcW w:w="7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780" w:type="dxa"/>
            <w:vAlign w:val="bottom"/>
          </w:tcPr>
          <w:p>
            <w:pPr>
              <w:jc w:val="center"/>
              <w:spacing w:after="0" w:line="181" w:lineRule="exact"/>
              <w:rPr>
                <w:sz w:val="20"/>
                <w:szCs w:val="20"/>
                <w:color w:val="auto"/>
              </w:rPr>
            </w:pPr>
            <w:r>
              <w:rPr>
                <w:rFonts w:ascii="Arial" w:cs="Arial" w:eastAsia="Arial" w:hAnsi="Arial"/>
                <w:sz w:val="18"/>
                <w:szCs w:val="18"/>
                <w:color w:val="auto"/>
                <w:w w:val="99"/>
              </w:rPr>
              <w:t>Executive Vice President,</w:t>
            </w:r>
          </w:p>
        </w:tc>
      </w:tr>
      <w:tr>
        <w:trPr>
          <w:trHeight w:val="239"/>
        </w:trPr>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5"/>
    </w:lvl>
  </w:abstractNum>
  <w:abstractNum w:abstractNumId="12">
    <w:nsid w:val="3F2DBA31"/>
    <w:multiLevelType w:val="hybridMultilevel"/>
    <w:lvl w:ilvl="0">
      <w:lvlJc w:val="left"/>
      <w:lvlText w:val="(%1)"/>
      <w:numFmt w:val="decimal"/>
      <w:start w:val="6"/>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Roman"/>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2" Type="http://schemas.openxmlformats.org/officeDocument/2006/relationships/hyperlink" Target="https://www.sec.gov/ix?doc=/Archives/edgar/data/1289848/000128984824000094/hurn-20240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2024-07-30T15:59:54Z</dcterms:created>
  <dcterms:modified xsi:type="dcterms:W3CDTF">2024-07-30T15:59:54Z</dcterms:modified>
</cp:coreProperties>
</file>