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323215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 SECURITIES AND EXCHANGE COMMISSION</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25"/>
          <w:szCs w:val="25"/>
          <w:color w:val="auto"/>
        </w:rPr>
        <w:t>FORM 10-K</w:t>
      </w:r>
    </w:p>
    <w:p>
      <w:pPr>
        <w:spacing w:after="0" w:line="4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(Mark One)</w:t>
      </w:r>
    </w:p>
    <w:p>
      <w:pPr>
        <w:spacing w:after="0" w:line="141" w:lineRule="exact"/>
        <w:rPr>
          <w:sz w:val="24"/>
          <w:szCs w:val="24"/>
          <w:color w:val="auto"/>
        </w:rPr>
      </w:pPr>
    </w:p>
    <w:p>
      <w:pPr>
        <w:ind w:left="940" w:hanging="914"/>
        <w:spacing w:after="0"/>
        <w:tabs>
          <w:tab w:leader="none" w:pos="940" w:val="left"/>
        </w:tabs>
        <w:numPr>
          <w:ilvl w:val="0"/>
          <w:numId w:val="1"/>
        </w:numPr>
        <w:rPr>
          <w:rFonts w:ascii="MS PGothic" w:cs="MS PGothic" w:eastAsia="MS PGothic" w:hAnsi="MS PGothic"/>
          <w:sz w:val="17"/>
          <w:szCs w:val="17"/>
          <w:color w:val="auto"/>
        </w:rPr>
      </w:pPr>
      <w:r>
        <w:rPr>
          <w:rFonts w:ascii="Arial" w:cs="Arial" w:eastAsia="Arial" w:hAnsi="Arial"/>
          <w:sz w:val="20"/>
          <w:szCs w:val="20"/>
          <w:color w:val="auto"/>
        </w:rPr>
        <w:t>ANNUAL REPORT PURSUANT TO SECTION 13 OR 15(d) OF THE SECURITIES EXCHANGE ACT OF 1934</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2022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41" w:lineRule="exact"/>
        <w:rPr>
          <w:sz w:val="24"/>
          <w:szCs w:val="24"/>
          <w:color w:val="auto"/>
        </w:rPr>
      </w:pPr>
    </w:p>
    <w:p>
      <w:pPr>
        <w:ind w:left="720" w:hanging="660"/>
        <w:spacing w:after="0"/>
        <w:tabs>
          <w:tab w:leader="none" w:pos="720" w:val="left"/>
        </w:tabs>
        <w:numPr>
          <w:ilvl w:val="0"/>
          <w:numId w:val="2"/>
        </w:numPr>
        <w:rPr>
          <w:rFonts w:ascii="MS PGothic" w:cs="MS PGothic" w:eastAsia="MS PGothic" w:hAnsi="MS PGothic"/>
          <w:sz w:val="17"/>
          <w:szCs w:val="17"/>
          <w:color w:val="auto"/>
        </w:rPr>
      </w:pPr>
      <w:r>
        <w:rPr>
          <w:rFonts w:ascii="Arial" w:cs="Arial" w:eastAsia="Arial" w:hAnsi="Arial"/>
          <w:sz w:val="20"/>
          <w:szCs w:val="20"/>
          <w:color w:val="auto"/>
        </w:rPr>
        <w:t>TRANSITION REPORT PURSUANT TO SECTION 13 OR 15(d) OF THE SECURITIES EXCHANGE ACT OF 1934</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3760" w:type="dxa"/>
            <w:vAlign w:val="bottom"/>
          </w:tcPr>
          <w:p>
            <w:pPr>
              <w:spacing w:after="0"/>
              <w:rPr>
                <w:sz w:val="18"/>
                <w:szCs w:val="18"/>
                <w:color w:val="auto"/>
              </w:rPr>
            </w:pPr>
          </w:p>
        </w:tc>
        <w:tc>
          <w:tcPr>
            <w:tcW w:w="5720" w:type="dxa"/>
            <w:vAlign w:val="bottom"/>
            <w:gridSpan w:val="6"/>
          </w:tcPr>
          <w:p>
            <w:pPr>
              <w:jc w:val="center"/>
              <w:ind w:right="1917"/>
              <w:spacing w:after="0"/>
              <w:rPr>
                <w:sz w:val="20"/>
                <w:szCs w:val="20"/>
                <w:color w:val="auto"/>
              </w:rPr>
            </w:pPr>
            <w:r>
              <w:rPr>
                <w:rFonts w:ascii="Arial" w:cs="Arial" w:eastAsia="Arial" w:hAnsi="Arial"/>
                <w:sz w:val="18"/>
                <w:szCs w:val="18"/>
                <w:color w:val="auto"/>
                <w:w w:val="99"/>
              </w:rPr>
              <w:t>For the transition period from ____ to ____</w:t>
            </w:r>
          </w:p>
        </w:tc>
        <w:tc>
          <w:tcPr>
            <w:tcW w:w="1760" w:type="dxa"/>
            <w:vAlign w:val="bottom"/>
          </w:tcPr>
          <w:p>
            <w:pPr>
              <w:spacing w:after="0"/>
              <w:rPr>
                <w:sz w:val="18"/>
                <w:szCs w:val="18"/>
                <w:color w:val="auto"/>
              </w:rPr>
            </w:pPr>
          </w:p>
        </w:tc>
      </w:tr>
      <w:tr>
        <w:trPr>
          <w:trHeight w:val="256"/>
        </w:trPr>
        <w:tc>
          <w:tcPr>
            <w:tcW w:w="3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100" w:type="dxa"/>
            <w:vAlign w:val="bottom"/>
            <w:gridSpan w:val="4"/>
          </w:tcPr>
          <w:p>
            <w:pPr>
              <w:jc w:val="center"/>
              <w:ind w:right="100"/>
              <w:spacing w:after="0"/>
              <w:rPr>
                <w:sz w:val="20"/>
                <w:szCs w:val="20"/>
                <w:color w:val="auto"/>
              </w:rPr>
            </w:pPr>
            <w:r>
              <w:rPr>
                <w:rFonts w:ascii="Arial" w:cs="Arial" w:eastAsia="Arial" w:hAnsi="Arial"/>
                <w:sz w:val="18"/>
                <w:szCs w:val="18"/>
                <w:color w:val="auto"/>
                <w:w w:val="99"/>
              </w:rPr>
              <w:t>Commission file number: 000-50976</w:t>
            </w:r>
          </w:p>
        </w:tc>
        <w:tc>
          <w:tcPr>
            <w:tcW w:w="226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94"/>
        </w:trPr>
        <w:tc>
          <w:tcPr>
            <w:tcW w:w="3760" w:type="dxa"/>
            <w:vAlign w:val="bottom"/>
          </w:tcPr>
          <w:p>
            <w:pPr>
              <w:spacing w:after="0"/>
              <w:rPr>
                <w:sz w:val="24"/>
                <w:szCs w:val="24"/>
                <w:color w:val="auto"/>
              </w:rPr>
            </w:pPr>
          </w:p>
        </w:tc>
        <w:tc>
          <w:tcPr>
            <w:tcW w:w="3460" w:type="dxa"/>
            <w:vAlign w:val="bottom"/>
            <w:gridSpan w:val="5"/>
          </w:tcPr>
          <w:p>
            <w:pPr>
              <w:jc w:val="center"/>
              <w:ind w:left="187"/>
              <w:spacing w:after="0"/>
              <w:rPr>
                <w:sz w:val="20"/>
                <w:szCs w:val="20"/>
                <w:color w:val="auto"/>
              </w:rPr>
            </w:pPr>
            <w:r>
              <w:rPr>
                <w:rFonts w:ascii="Arial" w:cs="Arial" w:eastAsia="Arial" w:hAnsi="Arial"/>
                <w:sz w:val="22"/>
                <w:szCs w:val="22"/>
                <w:color w:val="auto"/>
              </w:rPr>
              <w:t>H</w:t>
            </w:r>
            <w:r>
              <w:rPr>
                <w:rFonts w:ascii="Arial" w:cs="Arial" w:eastAsia="Arial" w:hAnsi="Arial"/>
                <w:sz w:val="17"/>
                <w:szCs w:val="17"/>
                <w:color w:val="auto"/>
              </w:rPr>
              <w:t>URON</w:t>
            </w:r>
            <w:r>
              <w:rPr>
                <w:rFonts w:ascii="Arial" w:cs="Arial" w:eastAsia="Arial" w:hAnsi="Arial"/>
                <w:sz w:val="22"/>
                <w:szCs w:val="22"/>
                <w:color w:val="auto"/>
              </w:rPr>
              <w:t xml:space="preserve"> C</w:t>
            </w:r>
            <w:r>
              <w:rPr>
                <w:rFonts w:ascii="Arial" w:cs="Arial" w:eastAsia="Arial" w:hAnsi="Arial"/>
                <w:sz w:val="17"/>
                <w:szCs w:val="17"/>
                <w:color w:val="auto"/>
              </w:rPr>
              <w:t>ONSULTING</w:t>
            </w:r>
            <w:r>
              <w:rPr>
                <w:rFonts w:ascii="Arial" w:cs="Arial" w:eastAsia="Arial" w:hAnsi="Arial"/>
                <w:sz w:val="22"/>
                <w:szCs w:val="22"/>
                <w:color w:val="auto"/>
              </w:rPr>
              <w:t xml:space="preserve"> G</w:t>
            </w:r>
            <w:r>
              <w:rPr>
                <w:rFonts w:ascii="Arial" w:cs="Arial" w:eastAsia="Arial" w:hAnsi="Arial"/>
                <w:sz w:val="17"/>
                <w:szCs w:val="17"/>
                <w:color w:val="auto"/>
              </w:rPr>
              <w:t>ROUP</w:t>
            </w:r>
            <w:r>
              <w:rPr>
                <w:rFonts w:ascii="Arial" w:cs="Arial" w:eastAsia="Arial" w:hAnsi="Arial"/>
                <w:sz w:val="22"/>
                <w:szCs w:val="22"/>
                <w:color w:val="auto"/>
              </w:rPr>
              <w:t xml:space="preserve"> I</w:t>
            </w:r>
            <w:r>
              <w:rPr>
                <w:rFonts w:ascii="Arial" w:cs="Arial" w:eastAsia="Arial" w:hAnsi="Arial"/>
                <w:sz w:val="17"/>
                <w:szCs w:val="17"/>
                <w:color w:val="auto"/>
              </w:rPr>
              <w:t>NC.</w:t>
            </w:r>
          </w:p>
        </w:tc>
        <w:tc>
          <w:tcPr>
            <w:tcW w:w="2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7"/>
        </w:trPr>
        <w:tc>
          <w:tcPr>
            <w:tcW w:w="3760" w:type="dxa"/>
            <w:vAlign w:val="bottom"/>
          </w:tcPr>
          <w:p>
            <w:pPr>
              <w:spacing w:after="0"/>
              <w:rPr>
                <w:sz w:val="19"/>
                <w:szCs w:val="19"/>
                <w:color w:val="auto"/>
              </w:rPr>
            </w:pPr>
          </w:p>
        </w:tc>
        <w:tc>
          <w:tcPr>
            <w:tcW w:w="5720" w:type="dxa"/>
            <w:vAlign w:val="bottom"/>
            <w:gridSpan w:val="6"/>
          </w:tcPr>
          <w:p>
            <w:pPr>
              <w:jc w:val="center"/>
              <w:ind w:right="1917"/>
              <w:spacing w:after="0"/>
              <w:rPr>
                <w:sz w:val="20"/>
                <w:szCs w:val="20"/>
                <w:color w:val="auto"/>
              </w:rPr>
            </w:pPr>
            <w:r>
              <w:rPr>
                <w:rFonts w:ascii="Arial" w:cs="Arial" w:eastAsia="Arial" w:hAnsi="Arial"/>
                <w:sz w:val="16"/>
                <w:szCs w:val="16"/>
                <w:color w:val="auto"/>
              </w:rPr>
              <w:t>(Exact name of registrant as specified in its charter)</w:t>
            </w:r>
          </w:p>
        </w:tc>
        <w:tc>
          <w:tcPr>
            <w:tcW w:w="1760" w:type="dxa"/>
            <w:vAlign w:val="bottom"/>
          </w:tcPr>
          <w:p>
            <w:pPr>
              <w:spacing w:after="0"/>
              <w:rPr>
                <w:sz w:val="19"/>
                <w:szCs w:val="19"/>
                <w:color w:val="auto"/>
              </w:rPr>
            </w:pPr>
          </w:p>
        </w:tc>
      </w:tr>
      <w:tr>
        <w:trPr>
          <w:trHeight w:val="343"/>
        </w:trPr>
        <w:tc>
          <w:tcPr>
            <w:tcW w:w="3760" w:type="dxa"/>
            <w:vAlign w:val="bottom"/>
          </w:tcPr>
          <w:p>
            <w:pPr>
              <w:jc w:val="center"/>
              <w:ind w:left="1755"/>
              <w:spacing w:after="0"/>
              <w:rPr>
                <w:sz w:val="20"/>
                <w:szCs w:val="20"/>
                <w:color w:val="auto"/>
              </w:rPr>
            </w:pPr>
            <w:r>
              <w:rPr>
                <w:rFonts w:ascii="Arial" w:cs="Arial" w:eastAsia="Arial" w:hAnsi="Arial"/>
                <w:sz w:val="18"/>
                <w:szCs w:val="18"/>
                <w:color w:val="auto"/>
                <w:w w:val="99"/>
              </w:rPr>
              <w:t>Delaware</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jc w:val="center"/>
              <w:ind w:left="257"/>
              <w:spacing w:after="0"/>
              <w:rPr>
                <w:sz w:val="20"/>
                <w:szCs w:val="20"/>
                <w:color w:val="auto"/>
              </w:rPr>
            </w:pPr>
            <w:r>
              <w:rPr>
                <w:rFonts w:ascii="Arial" w:cs="Arial" w:eastAsia="Arial" w:hAnsi="Arial"/>
                <w:sz w:val="18"/>
                <w:szCs w:val="18"/>
                <w:color w:val="auto"/>
                <w:w w:val="99"/>
              </w:rPr>
              <w:t>01-0666114</w:t>
            </w:r>
          </w:p>
        </w:tc>
        <w:tc>
          <w:tcPr>
            <w:tcW w:w="1760" w:type="dxa"/>
            <w:vAlign w:val="bottom"/>
          </w:tcPr>
          <w:p>
            <w:pPr>
              <w:spacing w:after="0"/>
              <w:rPr>
                <w:sz w:val="24"/>
                <w:szCs w:val="24"/>
                <w:color w:val="auto"/>
              </w:rPr>
            </w:pPr>
          </w:p>
        </w:tc>
      </w:tr>
      <w:tr>
        <w:trPr>
          <w:trHeight w:val="167"/>
        </w:trPr>
        <w:tc>
          <w:tcPr>
            <w:tcW w:w="3760" w:type="dxa"/>
            <w:vAlign w:val="bottom"/>
          </w:tcPr>
          <w:p>
            <w:pPr>
              <w:jc w:val="center"/>
              <w:ind w:left="1755"/>
              <w:spacing w:after="0"/>
              <w:rPr>
                <w:sz w:val="20"/>
                <w:szCs w:val="20"/>
                <w:color w:val="auto"/>
              </w:rPr>
            </w:pPr>
            <w:r>
              <w:rPr>
                <w:rFonts w:ascii="Arial" w:cs="Arial" w:eastAsia="Arial" w:hAnsi="Arial"/>
                <w:sz w:val="14"/>
                <w:szCs w:val="14"/>
                <w:color w:val="auto"/>
              </w:rPr>
              <w:t>(State or other jurisdiction of</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jc w:val="center"/>
              <w:ind w:left="277"/>
              <w:spacing w:after="0"/>
              <w:rPr>
                <w:sz w:val="20"/>
                <w:szCs w:val="20"/>
                <w:color w:val="auto"/>
              </w:rPr>
            </w:pPr>
            <w:r>
              <w:rPr>
                <w:rFonts w:ascii="Arial" w:cs="Arial" w:eastAsia="Arial" w:hAnsi="Arial"/>
                <w:sz w:val="14"/>
                <w:szCs w:val="14"/>
                <w:color w:val="auto"/>
              </w:rPr>
              <w:t>(IRS Employer</w:t>
            </w:r>
          </w:p>
        </w:tc>
        <w:tc>
          <w:tcPr>
            <w:tcW w:w="1760" w:type="dxa"/>
            <w:vAlign w:val="bottom"/>
          </w:tcPr>
          <w:p>
            <w:pPr>
              <w:spacing w:after="0"/>
              <w:rPr>
                <w:sz w:val="14"/>
                <w:szCs w:val="14"/>
                <w:color w:val="auto"/>
              </w:rPr>
            </w:pPr>
          </w:p>
        </w:tc>
      </w:tr>
      <w:tr>
        <w:trPr>
          <w:trHeight w:val="172"/>
        </w:trPr>
        <w:tc>
          <w:tcPr>
            <w:tcW w:w="3760" w:type="dxa"/>
            <w:vAlign w:val="bottom"/>
          </w:tcPr>
          <w:p>
            <w:pPr>
              <w:jc w:val="center"/>
              <w:ind w:left="1775"/>
              <w:spacing w:after="0"/>
              <w:rPr>
                <w:sz w:val="20"/>
                <w:szCs w:val="20"/>
                <w:color w:val="auto"/>
              </w:rPr>
            </w:pPr>
            <w:r>
              <w:rPr>
                <w:rFonts w:ascii="Arial" w:cs="Arial" w:eastAsia="Arial" w:hAnsi="Arial"/>
                <w:sz w:val="14"/>
                <w:szCs w:val="14"/>
                <w:color w:val="auto"/>
              </w:rPr>
              <w:t>incorporation or organization)</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jc w:val="center"/>
              <w:ind w:left="277"/>
              <w:spacing w:after="0"/>
              <w:rPr>
                <w:sz w:val="20"/>
                <w:szCs w:val="20"/>
                <w:color w:val="auto"/>
              </w:rPr>
            </w:pPr>
            <w:r>
              <w:rPr>
                <w:rFonts w:ascii="Arial" w:cs="Arial" w:eastAsia="Arial" w:hAnsi="Arial"/>
                <w:sz w:val="14"/>
                <w:szCs w:val="14"/>
                <w:color w:val="auto"/>
              </w:rPr>
              <w:t>Identification Number)</w:t>
            </w:r>
          </w:p>
        </w:tc>
        <w:tc>
          <w:tcPr>
            <w:tcW w:w="1760" w:type="dxa"/>
            <w:vAlign w:val="bottom"/>
          </w:tcPr>
          <w:p>
            <w:pPr>
              <w:spacing w:after="0"/>
              <w:rPr>
                <w:sz w:val="14"/>
                <w:szCs w:val="14"/>
                <w:color w:val="auto"/>
              </w:rPr>
            </w:pPr>
          </w:p>
        </w:tc>
      </w:tr>
      <w:tr>
        <w:trPr>
          <w:trHeight w:val="397"/>
        </w:trPr>
        <w:tc>
          <w:tcPr>
            <w:tcW w:w="3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gridSpan w:val="4"/>
          </w:tcPr>
          <w:p>
            <w:pPr>
              <w:jc w:val="center"/>
              <w:ind w:right="100"/>
              <w:spacing w:after="0"/>
              <w:rPr>
                <w:sz w:val="20"/>
                <w:szCs w:val="20"/>
                <w:color w:val="auto"/>
              </w:rPr>
            </w:pPr>
            <w:r>
              <w:rPr>
                <w:rFonts w:ascii="Arial" w:cs="Arial" w:eastAsia="Arial" w:hAnsi="Arial"/>
                <w:sz w:val="22"/>
                <w:szCs w:val="22"/>
                <w:color w:val="auto"/>
                <w:w w:val="97"/>
              </w:rPr>
              <w:t>550 West Van Buren Street</w:t>
            </w:r>
          </w:p>
        </w:tc>
        <w:tc>
          <w:tcPr>
            <w:tcW w:w="2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6"/>
        </w:trPr>
        <w:tc>
          <w:tcPr>
            <w:tcW w:w="3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720" w:type="dxa"/>
            <w:vAlign w:val="bottom"/>
            <w:gridSpan w:val="3"/>
          </w:tcPr>
          <w:p>
            <w:pPr>
              <w:jc w:val="center"/>
              <w:ind w:right="480"/>
              <w:spacing w:after="0"/>
              <w:rPr>
                <w:sz w:val="20"/>
                <w:szCs w:val="20"/>
                <w:color w:val="auto"/>
              </w:rPr>
            </w:pPr>
            <w:r>
              <w:rPr>
                <w:rFonts w:ascii="Arial" w:cs="Arial" w:eastAsia="Arial" w:hAnsi="Arial"/>
                <w:sz w:val="22"/>
                <w:szCs w:val="22"/>
                <w:color w:val="auto"/>
                <w:w w:val="98"/>
              </w:rPr>
              <w:t>Chicago, Illinois</w:t>
            </w:r>
          </w:p>
        </w:tc>
        <w:tc>
          <w:tcPr>
            <w:tcW w:w="226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59"/>
        </w:trPr>
        <w:tc>
          <w:tcPr>
            <w:tcW w:w="3760" w:type="dxa"/>
            <w:vAlign w:val="bottom"/>
          </w:tcPr>
          <w:p>
            <w:pPr>
              <w:spacing w:after="0"/>
              <w:rPr>
                <w:sz w:val="22"/>
                <w:szCs w:val="22"/>
                <w:color w:val="auto"/>
              </w:rPr>
            </w:pPr>
          </w:p>
        </w:tc>
        <w:tc>
          <w:tcPr>
            <w:tcW w:w="2960" w:type="dxa"/>
            <w:vAlign w:val="bottom"/>
            <w:gridSpan w:val="3"/>
          </w:tcPr>
          <w:p>
            <w:pPr>
              <w:jc w:val="right"/>
              <w:ind w:right="704"/>
              <w:spacing w:after="0"/>
              <w:rPr>
                <w:sz w:val="20"/>
                <w:szCs w:val="20"/>
                <w:color w:val="auto"/>
              </w:rPr>
            </w:pPr>
            <w:r>
              <w:rPr>
                <w:rFonts w:ascii="Arial" w:cs="Arial" w:eastAsia="Arial" w:hAnsi="Arial"/>
                <w:sz w:val="22"/>
                <w:szCs w:val="22"/>
                <w:color w:val="auto"/>
              </w:rPr>
              <w:t>60607</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27"/>
        </w:trPr>
        <w:tc>
          <w:tcPr>
            <w:tcW w:w="3760" w:type="dxa"/>
            <w:vAlign w:val="bottom"/>
          </w:tcPr>
          <w:p>
            <w:pPr>
              <w:spacing w:after="0"/>
              <w:rPr>
                <w:sz w:val="19"/>
                <w:szCs w:val="19"/>
                <w:color w:val="auto"/>
              </w:rPr>
            </w:pPr>
          </w:p>
        </w:tc>
        <w:tc>
          <w:tcPr>
            <w:tcW w:w="5720" w:type="dxa"/>
            <w:vAlign w:val="bottom"/>
            <w:gridSpan w:val="6"/>
          </w:tcPr>
          <w:p>
            <w:pPr>
              <w:jc w:val="center"/>
              <w:ind w:right="1897"/>
              <w:spacing w:after="0"/>
              <w:rPr>
                <w:sz w:val="20"/>
                <w:szCs w:val="20"/>
                <w:color w:val="auto"/>
              </w:rPr>
            </w:pPr>
            <w:r>
              <w:rPr>
                <w:rFonts w:ascii="Arial" w:cs="Arial" w:eastAsia="Arial" w:hAnsi="Arial"/>
                <w:sz w:val="16"/>
                <w:szCs w:val="16"/>
                <w:color w:val="auto"/>
              </w:rPr>
              <w:t>(Address of principal executive offices and zip code)</w:t>
            </w:r>
          </w:p>
        </w:tc>
        <w:tc>
          <w:tcPr>
            <w:tcW w:w="1760" w:type="dxa"/>
            <w:vAlign w:val="bottom"/>
          </w:tcPr>
          <w:p>
            <w:pPr>
              <w:spacing w:after="0"/>
              <w:rPr>
                <w:sz w:val="19"/>
                <w:szCs w:val="19"/>
                <w:color w:val="auto"/>
              </w:rPr>
            </w:pPr>
          </w:p>
        </w:tc>
      </w:tr>
      <w:tr>
        <w:trPr>
          <w:trHeight w:val="249"/>
        </w:trPr>
        <w:tc>
          <w:tcPr>
            <w:tcW w:w="3760" w:type="dxa"/>
            <w:vAlign w:val="bottom"/>
          </w:tcPr>
          <w:p>
            <w:pPr>
              <w:spacing w:after="0"/>
              <w:rPr>
                <w:sz w:val="21"/>
                <w:szCs w:val="21"/>
                <w:color w:val="auto"/>
              </w:rPr>
            </w:pPr>
          </w:p>
        </w:tc>
        <w:tc>
          <w:tcPr>
            <w:tcW w:w="2960" w:type="dxa"/>
            <w:vAlign w:val="bottom"/>
            <w:gridSpan w:val="3"/>
          </w:tcPr>
          <w:p>
            <w:pPr>
              <w:jc w:val="right"/>
              <w:ind w:right="384"/>
              <w:spacing w:after="0"/>
              <w:rPr>
                <w:sz w:val="20"/>
                <w:szCs w:val="20"/>
                <w:color w:val="auto"/>
              </w:rPr>
            </w:pPr>
            <w:r>
              <w:rPr>
                <w:rFonts w:ascii="Arial" w:cs="Arial" w:eastAsia="Arial" w:hAnsi="Arial"/>
                <w:sz w:val="18"/>
                <w:szCs w:val="18"/>
                <w:color w:val="auto"/>
              </w:rPr>
              <w:t>(312) 583-8700</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23"/>
        </w:trPr>
        <w:tc>
          <w:tcPr>
            <w:tcW w:w="9480" w:type="dxa"/>
            <w:vAlign w:val="bottom"/>
            <w:gridSpan w:val="7"/>
          </w:tcPr>
          <w:p>
            <w:pPr>
              <w:jc w:val="center"/>
              <w:ind w:left="1635"/>
              <w:spacing w:after="0"/>
              <w:rPr>
                <w:sz w:val="20"/>
                <w:szCs w:val="20"/>
                <w:color w:val="auto"/>
              </w:rPr>
            </w:pPr>
            <w:r>
              <w:rPr>
                <w:rFonts w:ascii="Arial" w:cs="Arial" w:eastAsia="Arial" w:hAnsi="Arial"/>
                <w:sz w:val="16"/>
                <w:szCs w:val="16"/>
                <w:color w:val="auto"/>
              </w:rPr>
              <w:t>(Registrant’s telephone number, including area code)</w:t>
            </w:r>
          </w:p>
        </w:tc>
        <w:tc>
          <w:tcPr>
            <w:tcW w:w="1760" w:type="dxa"/>
            <w:vAlign w:val="bottom"/>
          </w:tcPr>
          <w:p>
            <w:pPr>
              <w:spacing w:after="0"/>
              <w:rPr>
                <w:sz w:val="19"/>
                <w:szCs w:val="19"/>
                <w:color w:val="auto"/>
              </w:rPr>
            </w:pPr>
          </w:p>
        </w:tc>
      </w:tr>
      <w:tr>
        <w:trPr>
          <w:trHeight w:val="249"/>
        </w:trPr>
        <w:tc>
          <w:tcPr>
            <w:tcW w:w="9480" w:type="dxa"/>
            <w:vAlign w:val="bottom"/>
            <w:gridSpan w:val="7"/>
          </w:tcPr>
          <w:p>
            <w:pPr>
              <w:jc w:val="center"/>
              <w:ind w:left="1675"/>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760" w:type="dxa"/>
            <w:vAlign w:val="bottom"/>
          </w:tcPr>
          <w:p>
            <w:pPr>
              <w:spacing w:after="0"/>
              <w:rPr>
                <w:sz w:val="21"/>
                <w:szCs w:val="21"/>
                <w:color w:val="auto"/>
              </w:rPr>
            </w:pPr>
          </w:p>
        </w:tc>
      </w:tr>
      <w:tr>
        <w:trPr>
          <w:trHeight w:val="405"/>
        </w:trPr>
        <w:tc>
          <w:tcPr>
            <w:tcW w:w="3760" w:type="dxa"/>
            <w:vAlign w:val="bottom"/>
            <w:tcBorders>
              <w:bottom w:val="single" w:sz="8" w:color="auto"/>
            </w:tcBorders>
          </w:tcPr>
          <w:p>
            <w:pPr>
              <w:jc w:val="center"/>
              <w:ind w:left="295"/>
              <w:spacing w:after="0"/>
              <w:rPr>
                <w:sz w:val="20"/>
                <w:szCs w:val="20"/>
                <w:color w:val="auto"/>
              </w:rPr>
            </w:pPr>
            <w:r>
              <w:rPr>
                <w:rFonts w:ascii="Arial" w:cs="Arial" w:eastAsia="Arial" w:hAnsi="Arial"/>
                <w:sz w:val="18"/>
                <w:szCs w:val="18"/>
                <w:b w:val="1"/>
                <w:bCs w:val="1"/>
                <w:color w:val="auto"/>
                <w:w w:val="99"/>
              </w:rPr>
              <w:t>Title of each class</w:t>
            </w:r>
          </w:p>
        </w:tc>
        <w:tc>
          <w:tcPr>
            <w:tcW w:w="36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Trading Symbol</w:t>
            </w:r>
          </w:p>
        </w:tc>
        <w:tc>
          <w:tcPr>
            <w:tcW w:w="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2"/>
          </w:tcPr>
          <w:p>
            <w:pPr>
              <w:jc w:val="center"/>
              <w:ind w:right="15"/>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3760" w:type="dxa"/>
            <w:vAlign w:val="bottom"/>
          </w:tcPr>
          <w:p>
            <w:pPr>
              <w:jc w:val="center"/>
              <w:ind w:left="295"/>
              <w:spacing w:after="0"/>
              <w:rPr>
                <w:sz w:val="20"/>
                <w:szCs w:val="20"/>
                <w:color w:val="auto"/>
              </w:rPr>
            </w:pPr>
            <w:r>
              <w:rPr>
                <w:rFonts w:ascii="Arial" w:cs="Arial" w:eastAsia="Arial" w:hAnsi="Arial"/>
                <w:sz w:val="18"/>
                <w:szCs w:val="18"/>
                <w:color w:val="auto"/>
                <w:w w:val="99"/>
              </w:rPr>
              <w:t>Common Stock, par value $0.01 per share</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2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HURN</w:t>
            </w:r>
          </w:p>
        </w:tc>
        <w:tc>
          <w:tcPr>
            <w:tcW w:w="4020" w:type="dxa"/>
            <w:vAlign w:val="bottom"/>
            <w:gridSpan w:val="2"/>
          </w:tcPr>
          <w:p>
            <w:pPr>
              <w:jc w:val="center"/>
              <w:ind w:right="15"/>
              <w:spacing w:after="0"/>
              <w:rPr>
                <w:sz w:val="20"/>
                <w:szCs w:val="20"/>
                <w:color w:val="auto"/>
              </w:rPr>
            </w:pPr>
            <w:r>
              <w:rPr>
                <w:rFonts w:ascii="Arial" w:cs="Arial" w:eastAsia="Arial" w:hAnsi="Arial"/>
                <w:sz w:val="18"/>
                <w:szCs w:val="18"/>
                <w:color w:val="auto"/>
                <w:w w:val="99"/>
              </w:rPr>
              <w:t>NASDAQ Global Select Market</w:t>
            </w:r>
          </w:p>
        </w:tc>
      </w:tr>
      <w:tr>
        <w:trPr>
          <w:trHeight w:val="365"/>
        </w:trPr>
        <w:tc>
          <w:tcPr>
            <w:tcW w:w="9480" w:type="dxa"/>
            <w:vAlign w:val="bottom"/>
            <w:gridSpan w:val="7"/>
          </w:tcPr>
          <w:p>
            <w:pPr>
              <w:jc w:val="center"/>
              <w:ind w:left="1635"/>
              <w:spacing w:after="0"/>
              <w:rPr>
                <w:sz w:val="20"/>
                <w:szCs w:val="20"/>
                <w:color w:val="auto"/>
              </w:rPr>
            </w:pPr>
            <w:r>
              <w:rPr>
                <w:rFonts w:ascii="Arial" w:cs="Arial" w:eastAsia="Arial" w:hAnsi="Arial"/>
                <w:sz w:val="18"/>
                <w:szCs w:val="18"/>
                <w:b w:val="1"/>
                <w:bCs w:val="1"/>
                <w:color w:val="auto"/>
                <w:w w:val="99"/>
              </w:rPr>
              <w:t>Securities registered pursuant to Section 12(g) of the Act: None</w:t>
            </w:r>
          </w:p>
        </w:tc>
        <w:tc>
          <w:tcPr>
            <w:tcW w:w="1760" w:type="dxa"/>
            <w:vAlign w:val="bottom"/>
          </w:tcPr>
          <w:p>
            <w:pPr>
              <w:spacing w:after="0"/>
              <w:rPr>
                <w:sz w:val="24"/>
                <w:szCs w:val="24"/>
                <w:color w:val="auto"/>
              </w:rPr>
            </w:pPr>
          </w:p>
        </w:tc>
      </w:tr>
      <w:tr>
        <w:trPr>
          <w:trHeight w:val="360"/>
        </w:trPr>
        <w:tc>
          <w:tcPr>
            <w:tcW w:w="9480" w:type="dxa"/>
            <w:vAlign w:val="bottom"/>
            <w:gridSpan w:val="7"/>
          </w:tcPr>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 Yes x</w:t>
            </w:r>
          </w:p>
        </w:tc>
        <w:tc>
          <w:tcPr>
            <w:tcW w:w="1760" w:type="dxa"/>
            <w:vAlign w:val="bottom"/>
          </w:tcPr>
          <w:p>
            <w:pPr>
              <w:ind w:left="40"/>
              <w:spacing w:after="0"/>
              <w:rPr>
                <w:sz w:val="20"/>
                <w:szCs w:val="20"/>
                <w:color w:val="auto"/>
              </w:rPr>
            </w:pPr>
            <w:r>
              <w:rPr>
                <w:rFonts w:ascii="Arial" w:cs="Arial" w:eastAsia="Arial" w:hAnsi="Arial"/>
                <w:sz w:val="17"/>
                <w:szCs w:val="17"/>
                <w:color w:val="auto"/>
              </w:rPr>
              <w:t>No o</w:t>
            </w:r>
          </w:p>
        </w:tc>
      </w:tr>
      <w:tr>
        <w:trPr>
          <w:trHeight w:val="364"/>
        </w:trPr>
        <w:tc>
          <w:tcPr>
            <w:tcW w:w="9480" w:type="dxa"/>
            <w:vAlign w:val="bottom"/>
            <w:gridSpan w:val="7"/>
          </w:tcPr>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 Yes o</w:t>
            </w:r>
          </w:p>
        </w:tc>
        <w:tc>
          <w:tcPr>
            <w:tcW w:w="1760" w:type="dxa"/>
            <w:vAlign w:val="bottom"/>
          </w:tcPr>
          <w:p>
            <w:pPr>
              <w:ind w:left="160"/>
              <w:spacing w:after="0"/>
              <w:rPr>
                <w:sz w:val="20"/>
                <w:szCs w:val="20"/>
                <w:color w:val="auto"/>
              </w:rPr>
            </w:pPr>
            <w:r>
              <w:rPr>
                <w:rFonts w:ascii="Arial" w:cs="Arial" w:eastAsia="Arial" w:hAnsi="Arial"/>
                <w:sz w:val="17"/>
                <w:szCs w:val="17"/>
                <w:color w:val="auto"/>
              </w:rPr>
              <w:t>No x</w:t>
            </w:r>
          </w:p>
        </w:tc>
      </w:tr>
    </w:tbl>
    <w:p>
      <w:pPr>
        <w:spacing w:after="0" w:line="160" w:lineRule="exact"/>
        <w:rPr>
          <w:sz w:val="24"/>
          <w:szCs w:val="24"/>
          <w:color w:val="auto"/>
        </w:rPr>
      </w:pPr>
    </w:p>
    <w:p>
      <w:pPr>
        <w:jc w:val="both"/>
        <w:ind w:right="300"/>
        <w:spacing w:after="0" w:line="262"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43" w:lineRule="exact"/>
        <w:rPr>
          <w:sz w:val="24"/>
          <w:szCs w:val="24"/>
          <w:color w:val="auto"/>
        </w:rPr>
      </w:pPr>
    </w:p>
    <w:p>
      <w:pPr>
        <w:ind w:right="80"/>
        <w:spacing w:after="0" w:line="254"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49" w:lineRule="exact"/>
        <w:rPr>
          <w:sz w:val="24"/>
          <w:szCs w:val="24"/>
          <w:color w:val="auto"/>
        </w:rPr>
      </w:pPr>
    </w:p>
    <w:p>
      <w:pPr>
        <w:spacing w:after="0" w:line="26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0"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1620" w:type="dxa"/>
            <w:vAlign w:val="bottom"/>
          </w:tcPr>
          <w:p>
            <w:pPr>
              <w:jc w:val="center"/>
              <w:ind w:right="50"/>
              <w:spacing w:after="0"/>
              <w:rPr>
                <w:sz w:val="20"/>
                <w:szCs w:val="20"/>
                <w:color w:val="auto"/>
              </w:rPr>
            </w:pPr>
            <w:r>
              <w:rPr>
                <w:rFonts w:ascii="Arial" w:cs="Arial" w:eastAsia="Arial" w:hAnsi="Arial"/>
                <w:sz w:val="18"/>
                <w:szCs w:val="18"/>
                <w:color w:val="auto"/>
              </w:rPr>
              <w:t>Large Accelerated</w:t>
            </w:r>
          </w:p>
        </w:tc>
        <w:tc>
          <w:tcPr>
            <w:tcW w:w="46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rPr>
              <w:t>☒</w:t>
            </w:r>
          </w:p>
        </w:tc>
        <w:tc>
          <w:tcPr>
            <w:tcW w:w="444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7"/>
                <w:szCs w:val="17"/>
                <w:color w:val="auto"/>
              </w:rPr>
              <w:t>☐</w:t>
            </w:r>
            <w:r>
              <w:rPr>
                <w:rFonts w:ascii="Arial" w:cs="Arial" w:eastAsia="Arial" w:hAnsi="Arial"/>
                <w:sz w:val="18"/>
                <w:szCs w:val="18"/>
                <w:color w:val="auto"/>
              </w:rPr>
              <w:t xml:space="preserve">  Non-accelerated Filer  </w:t>
            </w:r>
            <w:r>
              <w:rPr>
                <w:rFonts w:ascii="MS PGothic" w:cs="MS PGothic" w:eastAsia="MS PGothic" w:hAnsi="MS PGothic"/>
                <w:sz w:val="17"/>
                <w:szCs w:val="17"/>
                <w:color w:val="auto"/>
              </w:rPr>
              <w:t>☐</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Smaller Reporting</w:t>
            </w:r>
          </w:p>
        </w:tc>
        <w:tc>
          <w:tcPr>
            <w:tcW w:w="50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Emerging Growth</w:t>
            </w:r>
          </w:p>
        </w:tc>
        <w:tc>
          <w:tcPr>
            <w:tcW w:w="32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217"/>
        </w:trPr>
        <w:tc>
          <w:tcPr>
            <w:tcW w:w="1620" w:type="dxa"/>
            <w:vAlign w:val="bottom"/>
          </w:tcPr>
          <w:p>
            <w:pPr>
              <w:jc w:val="center"/>
              <w:ind w:right="50"/>
              <w:spacing w:after="0"/>
              <w:rPr>
                <w:sz w:val="20"/>
                <w:szCs w:val="20"/>
                <w:color w:val="auto"/>
              </w:rPr>
            </w:pPr>
            <w:r>
              <w:rPr>
                <w:rFonts w:ascii="Arial" w:cs="Arial" w:eastAsia="Arial" w:hAnsi="Arial"/>
                <w:sz w:val="18"/>
                <w:szCs w:val="18"/>
                <w:color w:val="auto"/>
              </w:rPr>
              <w:t>Filer</w:t>
            </w:r>
          </w:p>
        </w:tc>
        <w:tc>
          <w:tcPr>
            <w:tcW w:w="460" w:type="dxa"/>
            <w:vAlign w:val="bottom"/>
            <w:vMerge w:val="continue"/>
          </w:tcPr>
          <w:p>
            <w:pPr>
              <w:spacing w:after="0"/>
              <w:rPr>
                <w:sz w:val="18"/>
                <w:szCs w:val="18"/>
                <w:color w:val="auto"/>
              </w:rPr>
            </w:pPr>
          </w:p>
        </w:tc>
        <w:tc>
          <w:tcPr>
            <w:tcW w:w="4440" w:type="dxa"/>
            <w:vAlign w:val="bottom"/>
            <w:vMerge w:val="continue"/>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8"/>
              </w:rPr>
              <w:t>Company</w:t>
            </w:r>
          </w:p>
        </w:tc>
        <w:tc>
          <w:tcPr>
            <w:tcW w:w="500" w:type="dxa"/>
            <w:vAlign w:val="bottom"/>
            <w:vMerge w:val="continue"/>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8"/>
              </w:rPr>
              <w:t>Company</w:t>
            </w:r>
          </w:p>
        </w:tc>
        <w:tc>
          <w:tcPr>
            <w:tcW w:w="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50" w:lineRule="exact"/>
        <w:rPr>
          <w:sz w:val="24"/>
          <w:szCs w:val="24"/>
          <w:color w:val="auto"/>
        </w:rPr>
      </w:pPr>
    </w:p>
    <w:p>
      <w:pPr>
        <w:ind w:right="80"/>
        <w:spacing w:after="0" w:line="259"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9" w:lineRule="exact"/>
        <w:rPr>
          <w:sz w:val="24"/>
          <w:szCs w:val="24"/>
          <w:color w:val="auto"/>
        </w:rPr>
      </w:pPr>
    </w:p>
    <w:p>
      <w:pPr>
        <w:ind w:right="100"/>
        <w:spacing w:after="0" w:line="254" w:lineRule="auto"/>
        <w:rPr>
          <w:sz w:val="20"/>
          <w:szCs w:val="20"/>
          <w:color w:val="auto"/>
        </w:rPr>
      </w:pPr>
      <w:r>
        <w:rPr>
          <w:rFonts w:ascii="Arial" w:cs="Arial" w:eastAsia="Arial" w:hAnsi="Arial"/>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report. x</w:t>
      </w:r>
    </w:p>
    <w:p>
      <w:pPr>
        <w:spacing w:after="0" w:line="149" w:lineRule="exact"/>
        <w:rPr>
          <w:sz w:val="24"/>
          <w:szCs w:val="24"/>
          <w:color w:val="auto"/>
        </w:rPr>
      </w:pPr>
    </w:p>
    <w:p>
      <w:pPr>
        <w:ind w:right="100"/>
        <w:spacing w:after="0" w:line="214" w:lineRule="exact"/>
        <w:rPr>
          <w:sz w:val="20"/>
          <w:szCs w:val="20"/>
          <w:color w:val="auto"/>
        </w:rPr>
      </w:pPr>
      <w:r>
        <w:rPr>
          <w:rFonts w:ascii="Arial" w:cs="Arial" w:eastAsia="Arial" w:hAnsi="Arial"/>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highlight w:val="black"/>
        </w:rPr>
        <w:t>☐</w:t>
      </w:r>
    </w:p>
    <w:p>
      <w:pPr>
        <w:spacing w:after="0" w:line="140" w:lineRule="exact"/>
        <w:rPr>
          <w:sz w:val="24"/>
          <w:szCs w:val="24"/>
          <w:color w:val="auto"/>
        </w:rPr>
      </w:pPr>
    </w:p>
    <w:p>
      <w:pPr>
        <w:ind w:right="160"/>
        <w:spacing w:after="0" w:line="220"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highlight w:val="black"/>
        </w:rPr>
        <w:t>☐</w:t>
      </w:r>
    </w:p>
    <w:p>
      <w:pPr>
        <w:spacing w:after="0" w:line="97" w:lineRule="exact"/>
        <w:rPr>
          <w:sz w:val="24"/>
          <w:szCs w:val="24"/>
          <w:color w:val="auto"/>
        </w:rPr>
      </w:pPr>
    </w:p>
    <w:p>
      <w:pPr>
        <w:spacing w:after="0" w:line="196" w:lineRule="exact"/>
        <w:tabs>
          <w:tab w:leader="none" w:pos="84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highlight w:val="black"/>
        </w:rPr>
        <w:t>☐</w:t>
      </w:r>
      <w:r>
        <w:rPr>
          <w:rFonts w:ascii="Arial" w:cs="Arial" w:eastAsia="Arial" w:hAnsi="Arial"/>
          <w:sz w:val="17"/>
          <w:szCs w:val="17"/>
          <w:color w:val="auto"/>
        </w:rPr>
        <w:tab/>
        <w:t>No x</w:t>
      </w:r>
    </w:p>
    <w:p>
      <w:pPr>
        <w:spacing w:after="0" w:line="213" w:lineRule="exact"/>
        <w:rPr>
          <w:sz w:val="24"/>
          <w:szCs w:val="24"/>
          <w:color w:val="auto"/>
        </w:rPr>
      </w:pPr>
    </w:p>
    <w:p>
      <w:pPr>
        <w:ind w:right="380"/>
        <w:spacing w:after="0" w:line="259" w:lineRule="auto"/>
        <w:rPr>
          <w:sz w:val="20"/>
          <w:szCs w:val="20"/>
          <w:color w:val="auto"/>
        </w:rPr>
      </w:pPr>
      <w:r>
        <w:rPr>
          <w:rFonts w:ascii="Arial" w:cs="Arial" w:eastAsia="Arial" w:hAnsi="Arial"/>
          <w:sz w:val="17"/>
          <w:szCs w:val="17"/>
          <w:color w:val="auto"/>
        </w:rPr>
        <w:t>The aggregate market value of the registrant’s common stock held by non-affiliates as of June 30, 2022 (the last business day of the registrant’s most recently completed second fiscal quarter) was approximately $1,323,000,000.</w:t>
      </w:r>
    </w:p>
    <w:p>
      <w:pPr>
        <w:spacing w:after="0" w:line="145" w:lineRule="exact"/>
        <w:rPr>
          <w:sz w:val="24"/>
          <w:szCs w:val="24"/>
          <w:color w:val="auto"/>
        </w:rPr>
      </w:pPr>
    </w:p>
    <w:p>
      <w:pPr>
        <w:spacing w:after="0"/>
        <w:rPr>
          <w:sz w:val="20"/>
          <w:szCs w:val="20"/>
          <w:color w:val="auto"/>
        </w:rPr>
      </w:pPr>
      <w:r>
        <w:rPr>
          <w:rFonts w:ascii="Arial" w:cs="Arial" w:eastAsia="Arial" w:hAnsi="Arial"/>
          <w:sz w:val="17"/>
          <w:szCs w:val="17"/>
          <w:color w:val="auto"/>
        </w:rPr>
        <w:t>As of February 21, 2023, 19,331,520 shares of the registrant’s common stock, par value $0.01 per share, were outstanding.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Documents Incorporated By Reference</w:t>
      </w:r>
    </w:p>
    <w:p>
      <w:pPr>
        <w:spacing w:after="0" w:line="169" w:lineRule="exact"/>
        <w:rPr>
          <w:sz w:val="24"/>
          <w:szCs w:val="24"/>
          <w:color w:val="auto"/>
        </w:rPr>
      </w:pPr>
    </w:p>
    <w:p>
      <w:pPr>
        <w:ind w:right="80"/>
        <w:spacing w:after="0" w:line="259" w:lineRule="auto"/>
        <w:rPr>
          <w:sz w:val="20"/>
          <w:szCs w:val="20"/>
          <w:color w:val="auto"/>
        </w:rPr>
      </w:pPr>
      <w:r>
        <w:rPr>
          <w:rFonts w:ascii="Arial" w:cs="Arial" w:eastAsia="Arial" w:hAnsi="Arial"/>
          <w:sz w:val="17"/>
          <w:szCs w:val="17"/>
          <w:color w:val="auto"/>
        </w:rPr>
        <w:t>Portions of the registrant’s definitive Proxy Statement to be filed with Securities and Exchange Commission within 120 days after the end of its fiscal year are incorporated by reference into Part III.</w:t>
      </w:r>
    </w:p>
    <w:p>
      <w:pPr>
        <w:sectPr>
          <w:pgSz w:w="11900" w:h="16875" w:orient="portrait"/>
          <w:cols w:equalWidth="0" w:num="1">
            <w:col w:w="11240"/>
          </w:cols>
          <w:pgMar w:left="320" w:top="247" w:right="339" w:bottom="0" w:gutter="0" w:footer="0" w:header="0"/>
        </w:sectPr>
      </w:pPr>
    </w:p>
    <w:bookmarkStart w:id="1" w:name="page2"/>
    <w:bookmarkEnd w:id="1"/>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487680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106045</wp:posOffset>
            </wp:positionV>
            <wp:extent cx="71151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HURON CONSULTING GROUP INC.</w:t>
      </w:r>
    </w:p>
    <w:p>
      <w:pPr>
        <w:spacing w:after="0" w:line="175"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ANNUAL REPORT ON FORM 10-K</w:t>
      </w:r>
    </w:p>
    <w:p>
      <w:pPr>
        <w:jc w:val="center"/>
        <w:spacing w:after="0"/>
        <w:rPr>
          <w:sz w:val="20"/>
          <w:szCs w:val="20"/>
          <w:color w:val="auto"/>
        </w:rPr>
      </w:pPr>
      <w:r>
        <w:rPr>
          <w:rFonts w:ascii="Arial" w:cs="Arial" w:eastAsia="Arial" w:hAnsi="Arial"/>
          <w:sz w:val="20"/>
          <w:szCs w:val="20"/>
          <w:color w:val="auto"/>
        </w:rPr>
        <w:t>FOR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113665</wp:posOffset>
            </wp:positionV>
            <wp:extent cx="58032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TABLE OF CONTENTS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Page</w:t>
            </w:r>
          </w:p>
        </w:tc>
      </w:tr>
      <w:tr>
        <w:trPr>
          <w:trHeight w:val="169"/>
        </w:trPr>
        <w:tc>
          <w:tcPr>
            <w:tcW w:w="20" w:type="dxa"/>
            <w:vAlign w:val="bottom"/>
          </w:tcPr>
          <w:p>
            <w:pPr>
              <w:spacing w:after="0"/>
              <w:rPr>
                <w:sz w:val="14"/>
                <w:szCs w:val="14"/>
                <w:color w:val="auto"/>
              </w:rPr>
            </w:pPr>
          </w:p>
        </w:tc>
        <w:tc>
          <w:tcPr>
            <w:tcW w:w="1240" w:type="dxa"/>
            <w:vAlign w:val="bottom"/>
            <w:gridSpan w:val="6"/>
          </w:tcPr>
          <w:p>
            <w:pPr>
              <w:spacing w:after="0" w:line="169" w:lineRule="exact"/>
              <w:rPr>
                <w:sz w:val="20"/>
                <w:szCs w:val="20"/>
                <w:color w:val="auto"/>
              </w:rPr>
            </w:pPr>
            <w:r>
              <w:rPr>
                <w:rFonts w:ascii="Arial" w:cs="Arial" w:eastAsia="Arial" w:hAnsi="Arial"/>
                <w:sz w:val="18"/>
                <w:szCs w:val="18"/>
                <w:color w:val="0000FF"/>
              </w:rPr>
              <w:t>PART I</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1.</w:t>
            </w:r>
          </w:p>
        </w:tc>
        <w:tc>
          <w:tcPr>
            <w:tcW w:w="9220" w:type="dxa"/>
            <w:vAlign w:val="bottom"/>
            <w:gridSpan w:val="22"/>
          </w:tcPr>
          <w:p>
            <w:pPr>
              <w:spacing w:after="0"/>
              <w:rPr>
                <w:sz w:val="20"/>
                <w:szCs w:val="20"/>
                <w:color w:val="auto"/>
              </w:rPr>
            </w:pPr>
            <w:r>
              <w:rPr>
                <w:rFonts w:ascii="Arial" w:cs="Arial" w:eastAsia="Arial" w:hAnsi="Arial"/>
                <w:sz w:val="18"/>
                <w:szCs w:val="18"/>
                <w:color w:val="0000FF"/>
              </w:rPr>
              <w:t>Business</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7"/>
              </w:rPr>
              <w:t>Risk Factors</w:t>
            </w:r>
          </w:p>
        </w:tc>
        <w:tc>
          <w:tcPr>
            <w:tcW w:w="8220" w:type="dxa"/>
            <w:vAlign w:val="bottom"/>
            <w:gridSpan w:val="18"/>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1B.</w:t>
            </w:r>
          </w:p>
        </w:tc>
        <w:tc>
          <w:tcPr>
            <w:tcW w:w="9220" w:type="dxa"/>
            <w:vAlign w:val="bottom"/>
            <w:gridSpan w:val="22"/>
          </w:tcPr>
          <w:p>
            <w:pPr>
              <w:spacing w:after="0"/>
              <w:rPr>
                <w:sz w:val="20"/>
                <w:szCs w:val="20"/>
                <w:color w:val="auto"/>
              </w:rPr>
            </w:pPr>
            <w:r>
              <w:rPr>
                <w:rFonts w:ascii="Arial" w:cs="Arial" w:eastAsia="Arial" w:hAnsi="Arial"/>
                <w:sz w:val="18"/>
                <w:szCs w:val="18"/>
                <w:color w:val="0000FF"/>
              </w:rPr>
              <w:t>Unresolved Staff Comments</w:t>
            </w: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2.</w:t>
            </w:r>
          </w:p>
        </w:tc>
        <w:tc>
          <w:tcPr>
            <w:tcW w:w="8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7"/>
              </w:rPr>
              <w:t>Properties</w:t>
            </w:r>
          </w:p>
        </w:tc>
        <w:tc>
          <w:tcPr>
            <w:tcW w:w="1420" w:type="dxa"/>
            <w:vAlign w:val="bottom"/>
            <w:tcBorders>
              <w:top w:val="single" w:sz="8" w:color="0000FF"/>
            </w:tcBorders>
            <w:gridSpan w:val="8"/>
          </w:tcPr>
          <w:p>
            <w:pPr>
              <w:spacing w:after="0"/>
              <w:rPr>
                <w:sz w:val="18"/>
                <w:szCs w:val="18"/>
                <w:color w:val="auto"/>
              </w:rPr>
            </w:pPr>
          </w:p>
        </w:tc>
        <w:tc>
          <w:tcPr>
            <w:tcW w:w="6980" w:type="dxa"/>
            <w:vAlign w:val="bottom"/>
            <w:gridSpan w:val="12"/>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3.</w:t>
            </w:r>
          </w:p>
        </w:tc>
        <w:tc>
          <w:tcPr>
            <w:tcW w:w="9220" w:type="dxa"/>
            <w:vAlign w:val="bottom"/>
            <w:gridSpan w:val="22"/>
          </w:tcPr>
          <w:p>
            <w:pPr>
              <w:spacing w:after="0"/>
              <w:rPr>
                <w:sz w:val="20"/>
                <w:szCs w:val="20"/>
                <w:color w:val="auto"/>
              </w:rPr>
            </w:pPr>
            <w:r>
              <w:rPr>
                <w:rFonts w:ascii="Arial" w:cs="Arial" w:eastAsia="Arial" w:hAnsi="Arial"/>
                <w:sz w:val="18"/>
                <w:szCs w:val="18"/>
                <w:color w:val="0000FF"/>
              </w:rPr>
              <w:t>Legal Proceedings</w:t>
            </w: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4.</w:t>
            </w:r>
          </w:p>
        </w:tc>
        <w:tc>
          <w:tcPr>
            <w:tcW w:w="9220" w:type="dxa"/>
            <w:vAlign w:val="bottom"/>
            <w:gridSpan w:val="22"/>
          </w:tcPr>
          <w:p>
            <w:pPr>
              <w:spacing w:after="0"/>
              <w:rPr>
                <w:sz w:val="20"/>
                <w:szCs w:val="20"/>
                <w:color w:val="auto"/>
              </w:rPr>
            </w:pPr>
            <w:r>
              <w:rPr>
                <w:rFonts w:ascii="Arial" w:cs="Arial" w:eastAsia="Arial" w:hAnsi="Arial"/>
                <w:sz w:val="18"/>
                <w:szCs w:val="18"/>
                <w:color w:val="0000FF"/>
              </w:rPr>
              <w:t>Mine Safety Disclosures</w:t>
            </w: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6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5"/>
              </w:rPr>
              <w:t>PART II</w:t>
            </w:r>
          </w:p>
        </w:tc>
        <w:tc>
          <w:tcPr>
            <w:tcW w:w="620" w:type="dxa"/>
            <w:vAlign w:val="bottom"/>
            <w:gridSpan w:val="4"/>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5.</w:t>
            </w:r>
          </w:p>
        </w:tc>
        <w:tc>
          <w:tcPr>
            <w:tcW w:w="9220" w:type="dxa"/>
            <w:vAlign w:val="bottom"/>
            <w:gridSpan w:val="22"/>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6.</w:t>
            </w:r>
          </w:p>
        </w:tc>
        <w:tc>
          <w:tcPr>
            <w:tcW w:w="8860" w:type="dxa"/>
            <w:vAlign w:val="bottom"/>
            <w:tcBorders>
              <w:top w:val="single" w:sz="8" w:color="0000FF"/>
            </w:tcBorders>
            <w:gridSpan w:val="21"/>
          </w:tcPr>
          <w:p>
            <w:pPr>
              <w:spacing w:after="0"/>
              <w:rPr>
                <w:sz w:val="20"/>
                <w:szCs w:val="20"/>
                <w:color w:val="auto"/>
              </w:rPr>
            </w:pPr>
            <w:r>
              <w:rPr>
                <w:rFonts w:ascii="Arial" w:cs="Arial" w:eastAsia="Arial" w:hAnsi="Arial"/>
                <w:sz w:val="18"/>
                <w:szCs w:val="18"/>
                <w:color w:val="0000FF"/>
              </w:rPr>
              <w:t>[Reserved]</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7.</w:t>
            </w:r>
          </w:p>
        </w:tc>
        <w:tc>
          <w:tcPr>
            <w:tcW w:w="70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140" w:type="dxa"/>
            <w:vAlign w:val="bottom"/>
            <w:gridSpan w:val="4"/>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7A.</w:t>
            </w:r>
          </w:p>
        </w:tc>
        <w:tc>
          <w:tcPr>
            <w:tcW w:w="9220" w:type="dxa"/>
            <w:vAlign w:val="bottom"/>
            <w:gridSpan w:val="2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8.</w:t>
            </w:r>
          </w:p>
        </w:tc>
        <w:tc>
          <w:tcPr>
            <w:tcW w:w="372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9"/>
              </w:rPr>
              <w:t>Financial Statements and Supplementary Data</w:t>
            </w:r>
          </w:p>
        </w:tc>
        <w:tc>
          <w:tcPr>
            <w:tcW w:w="980" w:type="dxa"/>
            <w:vAlign w:val="bottom"/>
            <w:tcBorders>
              <w:top w:val="single" w:sz="8" w:color="0000FF"/>
            </w:tcBorders>
            <w:gridSpan w:val="2"/>
          </w:tcPr>
          <w:p>
            <w:pPr>
              <w:spacing w:after="0"/>
              <w:rPr>
                <w:sz w:val="18"/>
                <w:szCs w:val="18"/>
                <w:color w:val="auto"/>
              </w:rPr>
            </w:pPr>
          </w:p>
        </w:tc>
        <w:tc>
          <w:tcPr>
            <w:tcW w:w="4520" w:type="dxa"/>
            <w:vAlign w:val="bottom"/>
            <w:gridSpan w:val="7"/>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9.</w:t>
            </w:r>
          </w:p>
        </w:tc>
        <w:tc>
          <w:tcPr>
            <w:tcW w:w="9220" w:type="dxa"/>
            <w:vAlign w:val="bottom"/>
            <w:gridSpan w:val="22"/>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9A.</w:t>
            </w:r>
          </w:p>
        </w:tc>
        <w:tc>
          <w:tcPr>
            <w:tcW w:w="712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Controls and Procedures</w:t>
            </w:r>
          </w:p>
        </w:tc>
        <w:tc>
          <w:tcPr>
            <w:tcW w:w="2100" w:type="dxa"/>
            <w:vAlign w:val="bottom"/>
            <w:gridSpan w:val="3"/>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9B.</w:t>
            </w:r>
          </w:p>
        </w:tc>
        <w:tc>
          <w:tcPr>
            <w:tcW w:w="14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tcBorders>
              <w:top w:val="single" w:sz="8" w:color="0000FF"/>
            </w:tcBorders>
            <w:gridSpan w:val="4"/>
          </w:tcPr>
          <w:p>
            <w:pPr>
              <w:spacing w:after="0"/>
              <w:rPr>
                <w:sz w:val="18"/>
                <w:szCs w:val="18"/>
                <w:color w:val="auto"/>
              </w:rPr>
            </w:pPr>
          </w:p>
        </w:tc>
        <w:tc>
          <w:tcPr>
            <w:tcW w:w="7240" w:type="dxa"/>
            <w:vAlign w:val="bottom"/>
            <w:gridSpan w:val="13"/>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9C.</w:t>
            </w:r>
          </w:p>
        </w:tc>
        <w:tc>
          <w:tcPr>
            <w:tcW w:w="9220" w:type="dxa"/>
            <w:vAlign w:val="bottom"/>
            <w:gridSpan w:val="22"/>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r>
      <w:tr>
        <w:trPr>
          <w:trHeight w:val="263"/>
        </w:trPr>
        <w:tc>
          <w:tcPr>
            <w:tcW w:w="20" w:type="dxa"/>
            <w:vAlign w:val="bottom"/>
          </w:tcPr>
          <w:p>
            <w:pPr>
              <w:spacing w:after="0"/>
              <w:rPr>
                <w:sz w:val="22"/>
                <w:szCs w:val="22"/>
                <w:color w:val="auto"/>
              </w:rPr>
            </w:pPr>
          </w:p>
        </w:tc>
        <w:tc>
          <w:tcPr>
            <w:tcW w:w="1240" w:type="dxa"/>
            <w:vAlign w:val="bottom"/>
            <w:gridSpan w:val="6"/>
          </w:tcPr>
          <w:p>
            <w:pPr>
              <w:spacing w:after="0"/>
              <w:rPr>
                <w:sz w:val="20"/>
                <w:szCs w:val="20"/>
                <w:color w:val="auto"/>
              </w:rPr>
            </w:pPr>
            <w:r>
              <w:rPr>
                <w:rFonts w:ascii="Arial" w:cs="Arial" w:eastAsia="Arial" w:hAnsi="Arial"/>
                <w:sz w:val="18"/>
                <w:szCs w:val="18"/>
                <w:color w:val="0000FF"/>
              </w:rPr>
              <w:t>PART III</w:t>
            </w:r>
          </w:p>
        </w:tc>
        <w:tc>
          <w:tcPr>
            <w:tcW w:w="7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92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78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10.</w:t>
            </w:r>
          </w:p>
        </w:tc>
        <w:tc>
          <w:tcPr>
            <w:tcW w:w="45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4720" w:type="dxa"/>
            <w:vAlign w:val="bottom"/>
            <w:gridSpan w:val="8"/>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11.</w:t>
            </w:r>
          </w:p>
        </w:tc>
        <w:tc>
          <w:tcPr>
            <w:tcW w:w="9220" w:type="dxa"/>
            <w:vAlign w:val="bottom"/>
            <w:gridSpan w:val="22"/>
          </w:tcPr>
          <w:p>
            <w:pPr>
              <w:spacing w:after="0"/>
              <w:rPr>
                <w:sz w:val="20"/>
                <w:szCs w:val="20"/>
                <w:color w:val="auto"/>
              </w:rPr>
            </w:pPr>
            <w:r>
              <w:rPr>
                <w:rFonts w:ascii="Arial" w:cs="Arial" w:eastAsia="Arial" w:hAnsi="Arial"/>
                <w:sz w:val="18"/>
                <w:szCs w:val="18"/>
                <w:color w:val="0000FF"/>
              </w:rPr>
              <w:t>Executive Compensation</w:t>
            </w: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12.</w:t>
            </w:r>
          </w:p>
        </w:tc>
        <w:tc>
          <w:tcPr>
            <w:tcW w:w="9220" w:type="dxa"/>
            <w:vAlign w:val="bottom"/>
            <w:gridSpan w:val="22"/>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13.</w:t>
            </w:r>
          </w:p>
        </w:tc>
        <w:tc>
          <w:tcPr>
            <w:tcW w:w="800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220" w:type="dxa"/>
            <w:vAlign w:val="bottom"/>
            <w:gridSpan w:val="2"/>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14.</w:t>
            </w:r>
          </w:p>
        </w:tc>
        <w:tc>
          <w:tcPr>
            <w:tcW w:w="606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Principal Accounting Fees and Services</w:t>
            </w:r>
          </w:p>
        </w:tc>
        <w:tc>
          <w:tcPr>
            <w:tcW w:w="3160" w:type="dxa"/>
            <w:vAlign w:val="bottom"/>
            <w:gridSpan w:val="5"/>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r>
      <w:tr>
        <w:trPr>
          <w:trHeight w:val="263"/>
        </w:trPr>
        <w:tc>
          <w:tcPr>
            <w:tcW w:w="20" w:type="dxa"/>
            <w:vAlign w:val="bottom"/>
          </w:tcPr>
          <w:p>
            <w:pPr>
              <w:spacing w:after="0"/>
              <w:rPr>
                <w:sz w:val="22"/>
                <w:szCs w:val="22"/>
                <w:color w:val="auto"/>
              </w:rPr>
            </w:pPr>
          </w:p>
        </w:tc>
        <w:tc>
          <w:tcPr>
            <w:tcW w:w="1240" w:type="dxa"/>
            <w:vAlign w:val="bottom"/>
            <w:gridSpan w:val="6"/>
          </w:tcPr>
          <w:p>
            <w:pPr>
              <w:spacing w:after="0"/>
              <w:rPr>
                <w:sz w:val="20"/>
                <w:szCs w:val="20"/>
                <w:color w:val="auto"/>
              </w:rPr>
            </w:pPr>
            <w:r>
              <w:rPr>
                <w:rFonts w:ascii="Arial" w:cs="Arial" w:eastAsia="Arial" w:hAnsi="Arial"/>
                <w:sz w:val="18"/>
                <w:szCs w:val="18"/>
                <w:color w:val="0000FF"/>
              </w:rPr>
              <w:t>PART IV</w:t>
            </w:r>
          </w:p>
        </w:tc>
        <w:tc>
          <w:tcPr>
            <w:tcW w:w="7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920" w:type="dxa"/>
            <w:vAlign w:val="bottom"/>
            <w:tcBorders>
              <w:top w:val="single" w:sz="8" w:color="0000FF"/>
            </w:tcBorders>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572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15.</w:t>
            </w:r>
          </w:p>
        </w:tc>
        <w:tc>
          <w:tcPr>
            <w:tcW w:w="9220" w:type="dxa"/>
            <w:vAlign w:val="bottom"/>
            <w:gridSpan w:val="22"/>
          </w:tcPr>
          <w:p>
            <w:pPr>
              <w:spacing w:after="0"/>
              <w:rPr>
                <w:sz w:val="20"/>
                <w:szCs w:val="20"/>
                <w:color w:val="auto"/>
              </w:rPr>
            </w:pPr>
            <w:r>
              <w:rPr>
                <w:rFonts w:ascii="Arial" w:cs="Arial" w:eastAsia="Arial" w:hAnsi="Arial"/>
                <w:sz w:val="18"/>
                <w:szCs w:val="18"/>
                <w:color w:val="0000FF"/>
              </w:rPr>
              <w:t>Exhibits and Financial Statement Schedules</w:t>
            </w: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40" w:type="dxa"/>
            <w:vAlign w:val="bottom"/>
            <w:gridSpan w:val="6"/>
          </w:tcPr>
          <w:p>
            <w:pPr>
              <w:ind w:left="200"/>
              <w:spacing w:after="0"/>
              <w:rPr>
                <w:sz w:val="20"/>
                <w:szCs w:val="20"/>
                <w:color w:val="auto"/>
              </w:rPr>
            </w:pPr>
            <w:r>
              <w:rPr>
                <w:rFonts w:ascii="Arial" w:cs="Arial" w:eastAsia="Arial" w:hAnsi="Arial"/>
                <w:sz w:val="18"/>
                <w:szCs w:val="18"/>
                <w:color w:val="auto"/>
              </w:rPr>
              <w:t>Item 16.</w:t>
            </w:r>
          </w:p>
        </w:tc>
        <w:tc>
          <w:tcPr>
            <w:tcW w:w="350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Form 10-K Summary</w:t>
            </w:r>
          </w:p>
        </w:tc>
        <w:tc>
          <w:tcPr>
            <w:tcW w:w="5720" w:type="dxa"/>
            <w:vAlign w:val="bottom"/>
            <w:gridSpan w:val="10"/>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40" w:type="dxa"/>
            <w:vAlign w:val="bottom"/>
            <w:gridSpan w:val="6"/>
          </w:tcPr>
          <w:p>
            <w:pPr>
              <w:spacing w:after="0"/>
              <w:rPr>
                <w:sz w:val="20"/>
                <w:szCs w:val="20"/>
                <w:color w:val="auto"/>
              </w:rPr>
            </w:pPr>
            <w:r>
              <w:rPr>
                <w:rFonts w:ascii="Arial" w:cs="Arial" w:eastAsia="Arial" w:hAnsi="Arial"/>
                <w:sz w:val="18"/>
                <w:szCs w:val="18"/>
                <w:color w:val="0000FF"/>
              </w:rPr>
              <w:t>SIGNATURES</w:t>
            </w:r>
          </w:p>
        </w:tc>
        <w:tc>
          <w:tcPr>
            <w:tcW w:w="7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r>
      <w:tr>
        <w:trPr>
          <w:trHeight w:val="986"/>
        </w:trPr>
        <w:tc>
          <w:tcPr>
            <w:tcW w:w="2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FORWARD-LOOKING STATEMENTS</w:t>
      </w:r>
    </w:p>
    <w:p>
      <w:pPr>
        <w:spacing w:after="0" w:line="19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 this Annual Report on Form 10-K, unless the context otherwise requires, the terms “Huron,” “Company,” “we,” “us” and “our” refer to Huron Consulting Group Inc. and its subsidiaries.</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Statements in this Annual Report on Form 10-K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“goals,”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necessary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5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Huron is a global professional services firm that partners with clients to develop growth strategies, optimize operations and accelerate digital transformation using an enterprise portfolio of technology, data and analytics solutions to empower clients to own their future. By collaborating with clients, embracing diverse perspectives, encouraging new ideas and challenging the status quo, we create sustainable results for the organizations we serve.</w:t>
      </w:r>
    </w:p>
    <w:p>
      <w:pPr>
        <w:spacing w:after="0" w:line="150"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We are headquartered in Chicago, Illinois, with additional locations in the United States and abroad in Canada, India, Singapore, and Switzerland.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193"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The new operating model strengthens Huron’s go-to-market strategy, drives efficiencies that support margin expansion, and positions the company to accelerate growth.</w:t>
      </w:r>
    </w:p>
    <w:p>
      <w:pPr>
        <w:spacing w:after="0" w:line="14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 energy and utilities. In the new 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 We also provide revenue reporting across two principal capabilities: i) Consulting and Managed Services and ii) Digital. These changes improve visibility into the core drivers of our business. While our consolidated results have not been impacted, our historical segment information has been recast for consistent presentation. See below for additional information on our principal capabilities and operating industries.</w:t>
      </w:r>
    </w:p>
    <w:p>
      <w:pPr>
        <w:spacing w:after="0" w:line="15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For information on our segment results, see Part II - Item 7. "Management's Discussion and Analysis of Financial Condition and Results of Operations" and Note 19 "Segment Information" within the notes to our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Capabilities</w:t>
      </w:r>
    </w:p>
    <w:p>
      <w:pPr>
        <w:spacing w:after="0" w:line="19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Within each of our reportable segments, we provide services under two principal capabilities: i) Consulting and Managed Services and ii) Digital.</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Consulting and Managed Services</w:t>
      </w:r>
    </w:p>
    <w:p>
      <w:pPr>
        <w:spacing w:after="0" w:line="193" w:lineRule="exact"/>
        <w:rPr>
          <w:rFonts w:ascii="Arial" w:cs="Arial" w:eastAsia="Arial" w:hAnsi="Arial"/>
          <w:sz w:val="18"/>
          <w:szCs w:val="18"/>
          <w:color w:val="auto"/>
        </w:rPr>
      </w:pPr>
    </w:p>
    <w:p>
      <w:pPr>
        <w:ind w:left="660" w:right="100"/>
        <w:spacing w:after="0" w:line="252" w:lineRule="auto"/>
        <w:rPr>
          <w:rFonts w:ascii="Arial" w:cs="Arial" w:eastAsia="Arial" w:hAnsi="Arial"/>
          <w:sz w:val="18"/>
          <w:szCs w:val="18"/>
          <w:color w:val="auto"/>
        </w:rPr>
      </w:pPr>
      <w:r>
        <w:rPr>
          <w:rFonts w:ascii="Arial" w:cs="Arial" w:eastAsia="Arial" w:hAnsi="Arial"/>
          <w:sz w:val="18"/>
          <w:szCs w:val="18"/>
          <w:color w:val="auto"/>
        </w:rPr>
        <w:t>Our Consulting and Managed Services capabilities represent our management consulting services, managed services (excluding technology-related managed services) and outsourcing services delivered across industries. Our Consulting and Managed Services experts help our clients address a variety of strategic, operational, financial, people and organizational-related challenges. These services are often combined with technology, analytic and data-driven solutions powered by our Digital capability to support long-term relationships with our clients and drive lasting impact. Examples include the areas of revenue cycle management and research administration at our healthcare and education clients, where our consulting and managed services projects are often coupled with our digital services and product offerings.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Digital</w:t>
      </w:r>
    </w:p>
    <w:p>
      <w:pPr>
        <w:spacing w:after="0" w:line="193" w:lineRule="exact"/>
        <w:rPr>
          <w:rFonts w:ascii="Arial" w:cs="Arial" w:eastAsia="Arial" w:hAnsi="Arial"/>
          <w:sz w:val="18"/>
          <w:szCs w:val="18"/>
          <w:b w:val="1"/>
          <w:bCs w:val="1"/>
          <w:i w:val="1"/>
          <w:iCs w:val="1"/>
          <w:color w:val="auto"/>
        </w:rPr>
      </w:pPr>
    </w:p>
    <w:p>
      <w:pPr>
        <w:ind w:left="66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Our Digital capabilities represent our technology and analytics services, including technology-related managed services and software products delivered across industries. Our Digital experts help clients address a variety of business challenges, including, but not limited to, designing and implementing technologies to accelerate transformation, facilitate data-driven decision making and improve customer and employee experiences.</w:t>
      </w:r>
    </w:p>
    <w:p>
      <w:pPr>
        <w:spacing w:after="0" w:line="149" w:lineRule="exact"/>
        <w:rPr>
          <w:rFonts w:ascii="Arial" w:cs="Arial" w:eastAsia="Arial" w:hAnsi="Arial"/>
          <w:sz w:val="18"/>
          <w:szCs w:val="18"/>
          <w:b w:val="1"/>
          <w:bCs w:val="1"/>
          <w:i w:val="1"/>
          <w:iCs w:val="1"/>
          <w:color w:val="auto"/>
        </w:rPr>
      </w:pPr>
    </w:p>
    <w:p>
      <w:pPr>
        <w:ind w:left="660" w:right="30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have expanded our ecosystem to work with more than 25 technology partners. We are a Leading Modern Oracle Network Partner; a Summit-level consulting partner with Salesforce.com and a Premium Partner with Salesforce.org; a Workday Services, Preferred Channel, Extend, and Application Management Services Partner; an Amazon Web Services consulting partner; an Informatica Platinum Partner; an SAP Concur implementation partner; and a Boomi Elite Partner.</w:t>
      </w:r>
    </w:p>
    <w:p>
      <w:pPr>
        <w:spacing w:after="0" w:line="149" w:lineRule="exact"/>
        <w:rPr>
          <w:rFonts w:ascii="Arial" w:cs="Arial" w:eastAsia="Arial" w:hAnsi="Arial"/>
          <w:sz w:val="18"/>
          <w:szCs w:val="18"/>
          <w:b w:val="1"/>
          <w:bCs w:val="1"/>
          <w:i w:val="1"/>
          <w:iCs w:val="1"/>
          <w:color w:val="auto"/>
        </w:rPr>
      </w:pPr>
    </w:p>
    <w:p>
      <w:pPr>
        <w:ind w:left="660" w:right="8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have also grown our proprietary software product portfolio to address our clients' challenges with solutions that expand our base of recurring revenue and further differentiate our consulting, digital and managed services offerings. Our product portfolio bundles our deep industry expertise and unique intellectual property together to serve our clients outside of our traditional consulting offerings. Our product portfolio includes, among others: Huron Research Suite, the leading software suite designed to facilitate and improve research administration service delivery and compliance; Huron Intelligence™ Rounding, the #1 ranked Digital Rounding solution in the 2023 Best in KLAS® report; and Huron Intelligence™ Analytic Suite in Healthcare, a predictive analytics suite to improve care delivery while lowering costs.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Industries</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provide our services and manage our business under three operating industries, which are our operating segments: Healthcare, Education and Commercial. For the year ended December 31, 2022, we derived 47%, 32%, and 21% of our consolidated revenues from the Healthcare, Education and Commercial operating segments, respectively.</w:t>
      </w:r>
    </w:p>
    <w:p>
      <w:pPr>
        <w:spacing w:after="0" w:line="12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Healthcare</w:t>
      </w:r>
    </w:p>
    <w:p>
      <w:pPr>
        <w:spacing w:after="0" w:line="193" w:lineRule="exact"/>
        <w:rPr>
          <w:rFonts w:ascii="Arial" w:cs="Arial" w:eastAsia="Arial" w:hAnsi="Arial"/>
          <w:sz w:val="18"/>
          <w:szCs w:val="18"/>
          <w:color w:val="auto"/>
        </w:rPr>
      </w:pPr>
    </w:p>
    <w:p>
      <w:pPr>
        <w:ind w:left="660" w:right="40"/>
        <w:spacing w:after="0" w:line="267" w:lineRule="auto"/>
        <w:rPr>
          <w:rFonts w:ascii="Arial" w:cs="Arial" w:eastAsia="Arial" w:hAnsi="Arial"/>
          <w:sz w:val="18"/>
          <w:szCs w:val="18"/>
          <w:color w:val="auto"/>
        </w:rPr>
      </w:pPr>
      <w:r>
        <w:rPr>
          <w:rFonts w:ascii="Arial" w:cs="Arial" w:eastAsia="Arial" w:hAnsi="Arial"/>
          <w:sz w:val="17"/>
          <w:szCs w:val="17"/>
          <w:color w:val="auto"/>
        </w:rPr>
        <w:t>Our Healthcare segment serves acute care providers, including national and regional health systems; academic health systems; community health systems; and public, children’s and critical access hospitals, and non-acute care providers, including physician practices and medical groups; payors; and long-term care or post-acute providers. Our Healthcare professionals have a depth of expertise in business operations, including financial and operational improvement, care transformation, and revenue cycle managed services; digital solutions, spanning technology and analytic-related services and a portfolio of software products; organizational transformation; financial advisory and strategy and innovation. Healthcare organizations are focused on establishing a sustainable long-term strategy and business model centered around growth, optimal cost structures, reimbursement models, financial strategies, and consumer-focused digital transformation; changing the way care is delivered, particularly in light of personnel shortages, and improving access to care; and evolving their digital capabilities to more effectively manage their business. Our solutions help clients adapt to this rapidly changing healthcare environment to become a more agile, efficient and consumer-centric organization. We use our deep industry, functional and technical expertise to help clients solve a diverse set of business issues, including, but not limited to, identifying new opportunities for growth, optimizing financial and operational performance, improving care delivery and clinical outcomes, increasing physician, patient and employee satisfaction, and maximizing return on technology investments.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Education</w:t>
      </w:r>
    </w:p>
    <w:p>
      <w:pPr>
        <w:spacing w:after="0" w:line="193" w:lineRule="exact"/>
        <w:rPr>
          <w:rFonts w:ascii="Arial" w:cs="Arial" w:eastAsia="Arial" w:hAnsi="Arial"/>
          <w:sz w:val="18"/>
          <w:szCs w:val="18"/>
          <w:b w:val="1"/>
          <w:bCs w:val="1"/>
          <w:color w:val="auto"/>
        </w:rPr>
      </w:pPr>
    </w:p>
    <w:p>
      <w:pPr>
        <w:ind w:left="66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Education segment serves public and private colleges and universities, research institutes and other education-related organizations. Our Education professionals have a depth of expertise in strategy and innovation; business operations, including the research enterprise and student and alumni lifecycle; digital solutions, spanning technology and analytic-related services and Huron Research Suite, the leading software suite designed to facilitate and improve research administration service delivery and compliance; and organizational transformation. Our Education segment clients are increasingly faced with strategic, financial and/or enrollment challenges, increased competition, and a need to modernize their businesses using technology to advance their missions. We combine our deep industry, functional and technical expertise to help clients solve their most pressing challenges, including, but not limited to, transforming business operations with technology and analytics; strengthening research strategies and support services; evolving their organizational strategy; optimizing financial and operational performance; applying innovative enrollment strategies; and enhancing the student lifecycle.</w:t>
      </w:r>
    </w:p>
    <w:p>
      <w:pPr>
        <w:spacing w:after="0" w:line="135"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Commercial</w:t>
      </w:r>
    </w:p>
    <w:p>
      <w:pPr>
        <w:spacing w:after="0" w:line="193" w:lineRule="exact"/>
        <w:rPr>
          <w:rFonts w:ascii="Arial" w:cs="Arial" w:eastAsia="Arial" w:hAnsi="Arial"/>
          <w:sz w:val="18"/>
          <w:szCs w:val="18"/>
          <w:color w:val="auto"/>
        </w:rPr>
      </w:pPr>
    </w:p>
    <w:p>
      <w:pPr>
        <w:ind w:left="660" w:right="20"/>
        <w:spacing w:after="0" w:line="251" w:lineRule="auto"/>
        <w:rPr>
          <w:rFonts w:ascii="Arial" w:cs="Arial" w:eastAsia="Arial" w:hAnsi="Arial"/>
          <w:sz w:val="18"/>
          <w:szCs w:val="18"/>
          <w:color w:val="auto"/>
        </w:rPr>
      </w:pPr>
      <w:r>
        <w:rPr>
          <w:rFonts w:ascii="Arial" w:cs="Arial" w:eastAsia="Arial" w:hAnsi="Arial"/>
          <w:sz w:val="18"/>
          <w:szCs w:val="18"/>
          <w:color w:val="auto"/>
        </w:rPr>
        <w:t>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nonprofit. Our Commercial professionals use their deep industry, functional and technical expertise to deliver our digital services and software products, strategy and innovation, and financial advisory (special situation advisory and corporate finance advisory) services. In today’s disruptive environment, organizations must reimagine their historical strategies and financial and operating models to sustain and advance their competitive advantage. Our experts help organizations across industries with a variety of business challenges, including, but not limited to, embedding technology and analytics throughout their internal and customer-facing operations; developing analytics and insights to identify the needs of tomorrow’s customers, evolve their strategies, and bring new products to market; managing through stressed and distressed situations to create a viable path forward for stakeholders; and providing financial, risk and regulatory advisory offerings.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 AND INDUSTRIES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provide services to both financially sound organizations and organizations in transition across industries, including healthcare, education, financial services, energy and utilities, industrials and manufacturing, public sector and other commercial industries. Our clients span hospitals, health systems and academic medical centers; colleges, universities and research institutes; banks, asset managers, insurance companies and private equity firms; oil and gas and utilities companies; manufacturing organizations; and the federal government. In 2022, we served over 2,000 clients, and our 10 largest clients accounted for approximately 17% of our consolidated revenues.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 AND MANAGEMENT</w:t>
      </w:r>
    </w:p>
    <w:p>
      <w:pPr>
        <w:spacing w:after="0" w:line="19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Our success depends on our ability to attract, engage, develop and retain highly talented professionals. Our growth strategy depends on creating a work environment where employees are engaged and rewarded for their own contributions and the success of our organization. We are focused on advancing every facet of the employee experience, beginning with the recruiting process through post-employment or retirement. We create a personalized experience for our people and empower them to make a meaningful impact on our clients, our communities, and one another. We have developed comprehensive programs incorporating learning opportunities, beginning with the onboarding process and continuing throughout one’s career to enable the professional development of our team. We provide a competitive total rewards package including robust benefits that are tailored to the diverse needs of our employees and are refreshed regularly to maintain competitiveness. Our total rewards program has continuously helped Huron be recognized as a Best Firm to Work For by Consulting magazine, including 2022 which marks our twelfth consecutive year earning this distinction. In addition to external recognitions, we monitor human capital-related internal metrics. Our leading measure is our quarterly employee engagement score, which was 80% for 2022 and continued to be above the Glint Employee Engagement global benchmark of 76%. In addition, we regularly review voluntary turnover across a number of key variables including business unit, individual performance, geography, and demographics in order to assess the effectiveness of our employee development and total rewards programs.</w:t>
      </w:r>
    </w:p>
    <w:p>
      <w:pPr>
        <w:spacing w:after="0" w:line="15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of December 31, 2022, we had approximately 5,660 full-time client service and support professionals, including 193 client-serving managing directors and principals. Our client-serving employees act as critical business advisors, collaborating with clients to help solve their most complex business problems. Our managing directors are the key drivers of growth in our business, generating revenue streams from new and existing clients. Our managing directors and principals also enhance our market reputation by working closely with our clients to address their most pressing challenges and ensuring high-quality delivery of our engagements. Internally, they lead the creation of our intellectual capital, develop our people, and are stewards of our culture. Our principals, senior directors, directors, and managers manage day-to-day client relationships and engagement teams, develop our people, nurture our culture, and oversee the delivery and quality of our</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40"/>
        <w:spacing w:after="0" w:line="261" w:lineRule="auto"/>
        <w:rPr>
          <w:sz w:val="20"/>
          <w:szCs w:val="20"/>
          <w:color w:val="auto"/>
        </w:rPr>
      </w:pPr>
      <w:r>
        <w:rPr>
          <w:rFonts w:ascii="Arial" w:cs="Arial" w:eastAsia="Arial" w:hAnsi="Arial"/>
          <w:sz w:val="18"/>
          <w:szCs w:val="18"/>
          <w:color w:val="auto"/>
        </w:rPr>
        <w:t>work product. Our associates and analysts gather and organize data, conduct detailed analyses, evolve our culture and prepare presentations that synthesize and distill information to support recommendations we deliver to clients.</w:t>
      </w:r>
    </w:p>
    <w:p>
      <w:pPr>
        <w:spacing w:after="0" w:line="13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support professionals include our senior management team, our corporate functions (consisting of corporate development, facilities, finance and accounting, human resources, information technology, legal, and marketing) and those who provide sales support, methodology creation, and software development. These professionals provide strategic direction for the enterprise and support that enables the success of our businesses and client-serving employees. At December 31, 2022, our support professionals team was led by 30 executives, managing directors, and corporate vice presidents.</w:t>
      </w:r>
    </w:p>
    <w:p>
      <w:pPr>
        <w:spacing w:after="0" w:line="162" w:lineRule="exact"/>
        <w:rPr>
          <w:sz w:val="20"/>
          <w:szCs w:val="20"/>
          <w:color w:val="auto"/>
        </w:rPr>
      </w:pPr>
    </w:p>
    <w:p>
      <w:pPr>
        <w:ind w:right="540"/>
        <w:spacing w:after="0" w:line="254" w:lineRule="auto"/>
        <w:rPr>
          <w:sz w:val="20"/>
          <w:szCs w:val="20"/>
          <w:color w:val="auto"/>
        </w:rPr>
      </w:pPr>
      <w:r>
        <w:rPr>
          <w:rFonts w:ascii="Arial" w:cs="Arial" w:eastAsia="Arial" w:hAnsi="Arial"/>
          <w:sz w:val="18"/>
          <w:szCs w:val="18"/>
          <w:color w:val="auto"/>
        </w:rPr>
        <w:t>In addition to our full-time client-serving employees, we engage temporary employees on an as-needed basis. We primarily use this contingent workforce to engage talent with specialized skills and/or experience or to expand our capacity to be able to deliver on client engagements or internal initiatives. We will continue to use temporary employees going forward as a key part of achieving our growth strategy.</w:t>
      </w:r>
    </w:p>
    <w:p>
      <w:pPr>
        <w:spacing w:after="0" w:line="15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ability to advance one’s career is critical to our employee retention and engagement. As part of our onboarding process, our employee experience team facilitates a robust and structured curriculum for newly hired employees. Guided by our values and Huron Leadership Principles, we strive to develop world class leaders and are committed to providing programs and opportunities that achieve this goal by focusing on key leadership behaviors at all levels. We also provide a variety of learning opportunities, through both individual on-demand courses and virtual classroom environments, to further develop employees’ skills, including technical knowledge, soft skills, team dynamics, and coaching and developing others. We encourage our employees to enhance their professional capabilities through external learning opportunities that certify their technical skills and to pursue certain advanced degrees. Employees are matched with internal onboarding stewards, performance coaches, mentors, and, in some cases, sponsors to facilitate their growth and network of support.</w:t>
      </w:r>
    </w:p>
    <w:p>
      <w:pPr>
        <w:spacing w:after="0" w:line="15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Our total rewards philosophy focuses on rewarding and retaining our high performing employees. To accomplish this, we offer employees a competitive base salary, performance incentives, and robust, market-competitive benefits.</w:t>
      </w:r>
    </w:p>
    <w:p>
      <w:pPr>
        <w:spacing w:after="0" w:line="14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incentive compensation plan is designed to recognize and reward performance at both the organization and individual level. We take both business unit and total company financial performance into consideration in the determination of bonus pool funding. At the business unit level, the annual bonus pool is funded based on achievement of its business unit and enterprise-wide annual financial goals. Our board of directors reviews and approves the total incentive compensation pool for all business units in the context of Huron’s overall financial performance. Individual bonus awards are based on the business unit’s bonus pool funding, individual bonus targets, and the individual’s performance as evaluated through our performance management process. The intent of the incentive compensation plan is to differentiate rewards based on individual performance, ensuring that our top performers receive incentives that are commensurate with their contributions in a given year. The incentive compensation plan for our named executive officers is funded based on a blend of achievement of company-wide financial goals and strategic initiatives.</w:t>
      </w:r>
    </w:p>
    <w:p>
      <w:pPr>
        <w:spacing w:after="0" w:line="15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Managing directors’ individual compensation levels, including base salary and target incentive awards, are set to align with the value of their expected contributions to Huron, including collaboration across our industry and capability teams. As the key drivers of the organization’s success, their compensation is designed to include equity awards as a core component. The use of equity is intended to encourage retention, align the interests of our managing directors with shareholders, and help build wealth over a managing director's career at Huron through annual grants as well as stock price appreciation.</w:t>
      </w:r>
    </w:p>
    <w:p>
      <w:pPr>
        <w:spacing w:after="0" w:line="15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benefit programs are designed to be comprehensive, competitive and personalized to the needs of our employees. We provide opportunities that allow employees to focus and care for their personal well-being which are aimed at providing tools and resources to focus on their physical, financial, social, and emotional health given the demanding nature of their work. In addition, our health and welfare plans, retirement benefits, and stock purchase plan provide a core foundation of security to our employees and their families.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Huron’s value of inclusion has been embedded across our organization since our founding and is fostered in our work environment every day. In 2020, we renewed our commitment to holding ourselves accountable by developing a five-year diversity, equity and inclusion action plan to help build a more equitable society. Through our action plan in 2022, we continued to foster an inclusive culture, advanced diverse representation across all levels of the organization, expanded our community outreach and support, and performed a new pay equity study. Additionally, in 2022, the strategic measures included in the annual incentive program for our named executive officers continued to include quantitative and qualitative measures against the progress on the goals outlined in our five-year action plan. We will continue to execute and expand on our diversity, equity and inclusion action plan in 2023 and beyond.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MANAGEMENT</w:t>
      </w:r>
    </w:p>
    <w:p>
      <w:pPr>
        <w:spacing w:after="0" w:line="193"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We are fully committed to our expanded societal role in making a lasting, positive impact on our people, our clients, our communities and the environment. In 2022, we published our third Environmental, Social and Governance ("ESG") report, highlighting the actions we have taken to support our clients, our communities, our people and the environment. Our ESG report reflects our efforts in support of the United Nations</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Sustainable Development Goals ("SDGs"), particularly five goals that are integrally aligned with our values-driven culture and the work we do for our clients: good health and well-being, quality education, gender equality, decent work and economic growth and climate action. We have and will continue to support these goals through our Huron Helping Hands program, employee resource groups, sustainability efforts, and corporate partnerships. As an addendum to our 2022 ESG report, we published a Sustainability Accounting Standards Board ("SASB") index in line with SASB’s Professional &amp; Commercial Services standards. Our SASB index provides further quantitative and qualitative information regarding our data security programs, practices and policies, workforce diversity and engagement metrics, and our approach to promoting professional integrity and ethical behavior among our workforce, commensurate with best practices for professional services organizations.</w:t>
      </w:r>
    </w:p>
    <w:p>
      <w:pPr>
        <w:spacing w:after="0" w:line="15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For additional information on Huron’s commitment to a more sustainable future, refer to our annual ESG report, which includes our SASB index, and is available on the investor relations website which is located at ir.huronconsultinggroup.com.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 AND MARKETING</w:t>
      </w:r>
    </w:p>
    <w:p>
      <w:pPr>
        <w:spacing w:after="0" w:line="19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Our business development and marketing activities are aimed at cultivating relationships, generating leads, and building a strong brand reputation with offices of the C-suite and senior level influencers and decision makers of organizations within our core industries. We believe excellent service delivery to clients is critical to building and maintaining relationships and sustaining and strengthening our brand reputation, and we emphasize the importance of high-quality client service to all of our employees.</w:t>
      </w:r>
    </w:p>
    <w:p>
      <w:pPr>
        <w:spacing w:after="0" w:line="228"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Currently, we generate new business opportunities through the combination of relationships our managing directors have with individuals working at our prospective clients and marketing activities. We also view market-based collaboration between our employees as a key component in building our business. Often, the client relationship of an employee in one area of our business leads to opportunities in another area. All of our managing directors understand their roles in ongoing relationship and business development, which is reinforced through our compensation and incentive programs. We actively seek to identify new business opportunities and frequently receive referrals and repeat business from past and current clients. In addition, to complement the business development efforts of our managing directors, we have dedicated business development professionals who are focused exclusively on developing client relationships and generating new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professional services industry is extremely competitive, highly fragmented, and constantly evolving. The industry includes a large number of participants with a variety of skills and industry expertise, including other strategy, business operations, technology, and financial advisory consulting firms; general management consulting firms; the consulting practices of major accounting firms; technical and economic advisory firms; regional and specialty consulting firms; consulting divisions of our technology partners; and the internal professional resources of organizations. We compete with a large number of service and technology providers in all of our segments. Our competitors vary, depending on the particular industry and expertise area, and we expect to continue to face competition from new market entrants.</w:t>
      </w:r>
    </w:p>
    <w:p>
      <w:pPr>
        <w:spacing w:after="0" w:line="15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believe the principal competitive factors in our market include reputation, the ability to attract and retain top talent, the capacity to manage engagements effectively to drive high value to clients, and the ability to deliver measurable and sustainable results. There is also competition on price, although to a lesser extent due to the criticality of the issues that many of our services address. Some competitors have a greater geographic footprint, broader international presence, and more resources than we do, but we believe our reputation and ability to deliver high-value, quality service and measurable results to our clients across a balanced portfolio of services and to attract and retain employees with broad capabilities and deep industry expertise enable us to compete favorably in the professional services marketplace.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9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file annual, quarterly and current reports, proxy statements, and other information with the Securities and Exchange Commission (the “SEC”). These filings are available on the SEC’s website at http://www.sec.gov.</w:t>
      </w:r>
    </w:p>
    <w:p>
      <w:pPr>
        <w:spacing w:after="0" w:line="144"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Our website is located at www.huronconsultinggroup.com, and our investor relations website is located at ir.huronconsultinggroup.com. We make our annual reports on Form 10-K, quarterly reports on Form 10-Q, current reports on Form 8-K, and any amendments to those reports filed or furnished pursuant to Section 13(a) or 15(d) of the Securities Exchange Act of 1934 available through our website, free of charge, as soon as reasonably practicable after we electronically file such material with, or furnish it to, the SEC.</w:t>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provide information about our business and financial performance, including our corporate profile, on the Investor Relations page of our website. Additionally, we webcast our earnings calls and certain events we participate in with members of the investment community on the Investor Relations page of our website. Further corporate governance information, including our code of ethics, code of business conduct, corporate governance guidelines, and board committee charters, is also available on the Investor Relations page of our website. The content of our websites is not incorporated by reference into this Annual Report on Form 10-K or in any other report or document we file with the SEC, and any references to our websites are intended to be inactive textual references only.</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following discussion of risk factors may be important to understanding the statements in this Annual Report on Form 10-K or elsewhere. The following information should be read in conjunction with Part II—Item 7. "Management’s Discussion and Analysis of Financial Condition and Results of Operations” and the Consolidated Financial Statements and related notes in this Annual Report on Form 10-K. Discussions about the important operational risks that our business encounters can be found in Part II—Item 7. "Management’s Discussion and Analysis of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Human Capital Resources</w:t>
      </w:r>
    </w:p>
    <w:p>
      <w:pPr>
        <w:spacing w:after="0" w:line="171"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color w:val="auto"/>
        </w:rPr>
        <w:t>An inability to retain our senior management team and other managing directors would be detrimental to the success of our business.</w:t>
      </w:r>
    </w:p>
    <w:p>
      <w:pPr>
        <w:spacing w:after="0" w:line="12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rely heavily on our senior management team, our practice leaders, and other managing directors; our ability to retain them is particularly important to our future success. Given the highly specialized nature of our services, the senior management team must have a thorough understanding of our service offerings as well as the skills and experience necessary to manage an organization consisting of a diverse group of professionals. In addition, we rely on our senior management team and other managing directors to generate revenues and market our business. Further, our senior management’s and other managing directors’ personal reputations and relationships with our clients are a critical element in obtaining and maintaining client engagements. Members of our senior management team and our other managing directors could choose to leave or join one of our competitors and some of our clients could choose to use the services of that competitor instead of our services. If one or more members of our senior management team or our other managing directors leave and we cannot replace them with a suitable candidate quickly, or if legal restrictions on non-competition agreements are put into place, we could experience difficulty in securing and successfully completing engagements and managing our business properly, which could harm our business prospects and results of operations.</w:t>
      </w:r>
    </w:p>
    <w:p>
      <w:pPr>
        <w:spacing w:after="0" w:line="13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If we are unable to hire and retain talented people in an industry where there is great competition for talent, it could have a serious negative effect on our prospects and results of operations.</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business involves the delivery of professional services and is highly labor-intensive. Our success depends largely on our general ability to attract, develop, motivate, and retain highly skilled professionals. Further, we must successfully maintain the right mix of professionals with relevant experience and skill sets as we continue to grow, as we expand into new service offerings, and as the market evolves. The loss of a significant number of our professionals, the inability to attract, hire, develop, train, and retain additional skilled personnel, or failure to maintain the right mix of professionals could have a serious negative effect on us, including our ability to manage, staff, and successfully complete our existing engagements and obtain new engagements. Qualified professionals are in great demand, and we face significant competition for both senior and junior professionals with the requisite credentials and experience. Our principal competition for talent comes from other consulting firms and accounting firms, as well as from organizations seeking to staff their internal professional positions. Many of these competitors may be able to offer greater compensation and benefits or more attractive lifestyle choices, career paths, or geographic locations than we can offer. Therefore, we may not be successful in attracting and retaining the skilled consultants we require to conduct and expand our operations successfully. Increasing competition for these revenue-generating professionals may also significantly increase our labor costs, which could negatively affect our margins and results of operations.</w:t>
      </w:r>
    </w:p>
    <w:p>
      <w:pPr>
        <w:spacing w:after="0" w:line="13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If we are unable to manage the organizational challenges associated with our continued growth, we might be unable to achieve our business objectives.</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we continue to grow and evolve, it might become increasingly difficult to maintain effective standards across a large enterprise and effectively institutionalize our knowledge or to effectively change the strategy, operations or culture of our Company in a timely manner. It might also become more difficult to maintain our culture; effectively manage and monitor our people and operations; effectively communicate our core values, policies and procedures, strategies and goals; and motivate, engage and retain our people, particularly given the distribution of our employees across the U.S. and internationally, the rate of new hires, the breadth of skills and expertise across all of our solutions, and the fact that essentially all of our employees have the option to work remotely. The size and scope of our operations increase the possibility that we will have employees who expose us to unacceptable business risks, despite our efforts to train them and maintain internal controls to prevent such instances. For example, employee misconduct could involve the improper use of sensitive or confidential information entrusted to us, or obtained inappropriately, or the failure to comply with legislation or regulations regarding the protection of sensitive or confidential information, including personal data and proprietary information. Furthermore, the inappropriate use of social networking sites by our employees could result in breaches of confidentiality, unauthorized disclosure of non-public company information or damage to our reputation. If we do not continue to develop and implement the right processes and tools to manage our enterprise and instill our culture and core values into all of our employees, our ability to compete successfully and achieve our business objectives could be impaired. In addition, we have recently made, and may continue to make, changes to our operating model, including how we are organized as the needs and size of our business change, and if we do not successfully implement the changes, our business and results of operation may be negatively impacted.</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Business Growth and Development</w:t>
      </w:r>
    </w:p>
    <w:p>
      <w:pPr>
        <w:spacing w:after="0" w:line="17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color w:val="auto"/>
        </w:rPr>
        <w:t>We may incur costs to support our business and the inability to effectively build a support structure for the business could have an adverse impact on our growth and profitability.</w:t>
      </w:r>
    </w:p>
    <w:p>
      <w:pPr>
        <w:spacing w:after="0" w:line="1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grown significantly since we commenced operations and have increased the number of our full-time professionals from 249 in 2002 to approximately 5,660 as of December 31, 2022. Additionally, our considerable growth has placed demands on our management and our internal systems, procedures, and controls and will continue to do so in the future. To successfully manage growth, we must periodically adjust and strengthen our operating, financial, accounting, and other systems, procedures, and controls, which may increase our total costs and may adversely affect our operating income and our ability to sustain profitability if we do not generate increased revenues to offset the costs. As a public company, our information and control systems must enable us to prepare accurate and timely financial information and other required disclosures. If we discover deficiencies in our existing information and control systems that impede our ability to satisfy our reporting requirements, we must successfully implement improvements to those systems in an efficient and timely manner.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expansion could result in additional risks.</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operate both domestically and internationally, including in Canada, Europe, Asia and the Middle East. Although historically our international operations have been limited, we intend to continue to expand internationally. Such expansion may result in additional risks that are not present domestically and which could adversely affect our business or our results of operations, including:</w:t>
      </w:r>
    </w:p>
    <w:p>
      <w:pPr>
        <w:spacing w:after="0" w:line="9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compliance with additional U.S. regulations and those of other nations applicable to international operations;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cultural and language differences;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employment laws, including immigration laws affecting the mobility of employees, and rules and related social and cultural factors;</w:t>
      </w:r>
    </w:p>
    <w:p>
      <w:pPr>
        <w:spacing w:after="0" w:line="161" w:lineRule="exact"/>
        <w:rPr>
          <w:rFonts w:ascii="Arial" w:cs="Arial" w:eastAsia="Arial" w:hAnsi="Arial"/>
          <w:sz w:val="22"/>
          <w:szCs w:val="22"/>
          <w:color w:val="auto"/>
        </w:rPr>
      </w:pPr>
    </w:p>
    <w:p>
      <w:pPr>
        <w:ind w:left="660" w:right="100" w:hanging="328"/>
        <w:spacing w:after="0" w:line="225"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losses related to start-up costs, lack of revenue, higher costs due to low utilization, and delays in purchase decisions by prospective clients;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currency fluctuations between the U.S. dollar and foreign currencies;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potentially adverse tax consequences and limitations on our ability to utilize losses generated in our foreign operations;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different regulatory requirements and other barriers to conducting business;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different or less stable political and economic environments;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greater personal security risks for employees traveling to or located in unstable locations;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health emergencies or pandemics, including COVID-19;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civil disturbances or other catastrophic events.</w:t>
      </w:r>
    </w:p>
    <w:p>
      <w:pPr>
        <w:spacing w:after="0" w:line="161"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Further, conducting business abroad subjects us to increased regulatory compliance and oversight. For example, we are subject to laws prohibiting certain payments to governmental officials, such as the Foreign Corrupt Practices Act, which increases the risk from our international operations relative to our competitors who do not operate outside the United States. A failure to comply with applicable regulations could result in regulatory enforcement actions as well as substantial civil and criminal penalties assessed against us and our employees.</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expanding into new geographic areas and expanding current service offerings is challenging and may require integrating new employees into our culture as well as assessing the demand in the applicable market. If we cannot manage the risks associated with new employees, new service offerings or new locations effectively, we are unlikely to be successful in these efforts, which could harm our ability to sustain profitability and our business prospects.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has significant operations in India, which presents additional risks.</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have significant operations in India, including over 1,500 employees, which subjects the Company to various country-specific risks. For example, from time to time, India has experienced instances of civil unrest, terrorism and hostilities among neighboring countries. Terrorist attacks, military activity, rioting, or civil or political unrest in the future could influence the Indian economy and our operations by disrupting operations and communications and making travel within India more difficult and less desirable. Further, India has experienced natural disasters such as earthquakes, tsunamis, floods, landslides and drought in the past few years. The extent and severity of these natural disasters determines their impact on the Indian economy. Our operations and employees in India may be adversely affected by these or other social and political uncertainties or change, military activity, health-related risks, acts of terrorism or natural disasters. Additionally, as the</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overall population of India is large, and the cities in which we operate are dense, the impact of any such occurrences could have a disproportionate adverse effect on our operations.</w:t>
      </w:r>
    </w:p>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Additionally, India’s reputation for potential corruption and the challenges presented by India’s complex business environment may increase our risk of violating applicable anti-corruption and anti-bribery laws. We face the risk that our employees or any third parties we engage to do work on our behalf may take action determined to be in violation of anti-corruption laws in any jurisdiction in which we conduct business, including the Foreign Corrupt Practices Act, India’s Prevention of Money Laundering Act, 2002 and Indian Penal Code. If we violate applicable anti-corruption laws or our internal policies designed to ensure ethical business practices, we could face financial penalties and/or reputational harm that would negatively impact our financial condition and results of operations.</w:t>
      </w:r>
    </w:p>
    <w:p>
      <w:pPr>
        <w:spacing w:after="0" w:line="154"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Additionally, since 1991, successive Indian governments have generally pursued policies of economic liberalization and financial sector reforms, including by significantly relaxing restrictions on the private sector. Nevertheless, the role of the Indian central and state governments in the Indian economy as producers, consumers and regulators has remained significant and there is no assurance that such liberalization policies will continue. A significant change in India’s policy of economic liberalization and deregulation or any social or political uncertainties could adversely affect business and economic conditions in India generally and our business and employees in particular.</w:t>
      </w:r>
    </w:p>
    <w:p>
      <w:pPr>
        <w:spacing w:after="0" w:line="13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Lastly, unfavorable fluctuations in the currency exchange rate between the U.S. dollar and Indian rupee could have a material adverse effect on our results of operations. As we continue to grow our operations in India, more of our expenses will be incurred in the Indian rupee. An increase in the value of the Indian rupee against the U.S. dollar, in which our revenue is primarily recorded, could increase costs for delivery of services and decrease the profitability of our engagements that utilize our employees in India.</w:t>
      </w:r>
    </w:p>
    <w:p>
      <w:pPr>
        <w:spacing w:after="0" w:line="12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auto"/>
        </w:rPr>
        <w:t>Additional hiring, departures, and business acquisitions and dispositions, as well as other organizational changes could disrupt our operations, increase our costs or otherwise harm our business.</w:t>
      </w:r>
    </w:p>
    <w:p>
      <w:pPr>
        <w:spacing w:after="0" w:line="12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business strategy is dependent in part upon our ability to grow by hiring individuals or groups of individuals and by acquiring complementary businesses. However, we may be unable to identify, hire, acquire, or successfully integrate new employees and acquired businesses without substantial expense, delay, or other operational or financial obstacles. From time to time, we will evaluate the total mix of services we provide and we may conclude that businesses may not achieve the results we previously expected. Competition for future hiring and acquisition opportunities in our markets could increase the compensation we offer to potential employees or the prices we pay for businesses we wish to acquire. In addition, we may be unable to achieve the financial, operational, and other benefits we anticipate from any hiring or acquisition, as well as any disposition, including those we have completed so far. New acquisitions could also negatively impact existing practices and cause current employees to depart. Hiring additional employees or acquiring businesses could also involve a number of additional risks, including the diversion of management’s time, attention, and resources from managing and marketing our Company; the potential assumption of liabilities of an acquired business; the inability to attain the expected synergies with an acquired business; and the perception of inequalities if different groups of employees are eligible for different benefits and incentives or are subject to different policies and programs.</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Selling practices and shutting down operations present similar challenges in a service business. Dispositions not only require management’s time, but they can impair existing relationships with clients or otherwise affect client satisfaction, particularly in situations where the divestiture eliminates only part of the complement of consulting services provided to a client. Dispositions may also involve continued financial involvement, as we may be required to retain responsibility for, or agree to indemnify buyers against, liabilities related to a business sold.</w:t>
      </w:r>
    </w:p>
    <w:p>
      <w:pPr>
        <w:spacing w:after="0" w:line="150"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Additionally, effective January 1, 2022, we modified our operating model to report under three industries, which are our reportable segments. The new operating model was designed to strengthen Huron's go-to-market strategy and support our growth. The full implementation across all areas of our business to effect this change may take place over several years. If we do not successfully implement and continue to refine this change to our operating model, our business and results of operation may be negatively impacted.</w:t>
      </w:r>
    </w:p>
    <w:p>
      <w:pPr>
        <w:spacing w:after="0" w:line="128"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color w:val="auto"/>
        </w:rPr>
        <w:t>The healthcare and education industries are areas of significant focus for our business, and factors that adversely affect the financial condition of these industries could consequently affect our business.</w:t>
      </w:r>
    </w:p>
    <w:p>
      <w:pPr>
        <w:spacing w:after="0" w:line="1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derive a significant portion of our revenue from clients in the healthcare and education industries. As a result, our financial condition and results of operations could be adversely affected by conditions affecting these industries, both generally and those specific to the types of clients we serve in these industries, including hospitals and health systems, academic medical centers, and higher education institutions. The healthcare and education industries are highly regulated and are subject to changing political, legislative, regulatory, and other influences. Uncertainty in any of these areas could cause our clients to delay or postpone decisions to use our services. Existing and new federal and state laws and regulations affecting the healthcare and education industries could create unexpected liabilities for us, could cause us or our clients to incur additional costs, and could restrict our or our clients’ operations.</w:t>
      </w:r>
    </w:p>
    <w:p>
      <w:pPr>
        <w:spacing w:after="0" w:line="153"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Additionally, regulatory and legislative changes in these industries could reduce the demand for our services, decreasing our competitive position or potentially rendering certain of our service offerings obsolete, change client buying patterns or decision making or require us to make unplanned modifications to our service offerings, which could require additional time and investment. If we fail to accurately anticipate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application of the laws and regulations affecting our clients and the industries they serve, if anticipated changes in regulation or regulatory uncertainty impact client buying patterns, or if such laws and regulations decrease our competitive position or limit the applicability of our service offerings, our results of operations and financial condition could be adversely impacted. Similarly, certain of our healthcare and education clients may experience or anticipate experiencing financial distress or face complex challenges as a result of general economic conditions or operations-specific reasons. Such clients may not have the financial resources or stakeholder support to start new projects or to continue existing projects.</w:t>
      </w:r>
    </w:p>
    <w:p>
      <w:pPr>
        <w:spacing w:after="0" w:line="15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Specifically with respect to healthcare, many healthcare laws are complex and their application to us, our clients, or the specific services and relationships we have with our clients are not always clear. In addition, federal and state legislatures have periodically introduced programs to reform or amend the U.S. healthcare system at both the federal and state level, such as the Patient Protection and Affordable Care Act and the Health Care and Education Reconciliation Act of 2010, and continue to consider further significant reforms. Due to the significant implementation issues arising under these laws and potential new legislation, it is unclear what long-term effects they will have on the healthcare industry and in turn on our business, financial condition, and results of operations. Our failure to accurately anticipate the application of new laws and regulations, or our failure to comply with such laws and regulations, could create liability for us, result in adverse publicity and negatively affect our business.</w:t>
      </w:r>
    </w:p>
    <w:p>
      <w:pPr>
        <w:spacing w:after="0" w:line="15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There are many factors that could affect the purchasing practices, operations, and, ultimately, the operating funds of healthcare and education organizations, such as reimbursement policies for healthcare expenses, student loan policies or regulations, federal and state budgetary considerations, consolidation in either industry, and regulation, litigation, and general economic conditions. In particular, we could be required to make unplanned modifications of our products and services (which would require additional time and investment) or we could suffer reductions in demand for our products and services as a result of changes in regulations affecting either industry, such as changes in the way that healthcare organizations are paid for their services (e.g., based on patient outcomes instead of services provided).</w:t>
      </w:r>
    </w:p>
    <w:p>
      <w:pPr>
        <w:spacing w:after="0" w:line="15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state tax authorities have challenged the tax-exempt status of some hospitals and other healthcare facilities claiming such status on the basis that they are operating as charitable and/or religious organizations. If the tax-exempt status of any of our clients is revoked or compromised by new legislation or interpretation of existing legislation, that client’s financial health could be adversely affected, which could adversely impact demand for our services, our sales, revenue, financial condition, and results of operations.</w:t>
      </w:r>
    </w:p>
    <w:p>
      <w:pPr>
        <w:spacing w:after="0" w:line="12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color w:val="auto"/>
        </w:rPr>
        <w:t>Our digital offerings are a significant focal point for our business, including a focus on the adaptation and expansion of our services and products in response to ongoing changes in customer demand, and a significant reduction in such demand or an inability to respond to the evolving technological environment could materially affect our results of operations.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financial results depend, in part, on our ability to continue to develop and implement services and solutions that anticipate and respond to rapid and continuing changes in technology to serve the evolving needs of our clients. Examples of areas of significant change include digital and analytic services and products, which are continually evolving. Technological developments may materially affect the cost and use of current technology by our clients and some of these technological developments may reduce and replace some of our historical services and products. This changing technological landscape may cause clients to delay spending under existing contracts and engagements and delay entering into new contracts while they evaluate new technologies. Such spending delays can negatively impact our results of operations.</w:t>
      </w:r>
    </w:p>
    <w:p>
      <w:pPr>
        <w:spacing w:after="0" w:line="153"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Technological developments, which may be rapid, also could shift demand to new services and products. If, as a result of new technologies, our clients demand new services and products, we may be less competitive in these new areas or we may need to make significant investment in our portfolio of software products to meet that demand. Our growth strategy focuses on responding to these types of developments by driving innovation that will enable us to expand our business into new growth areas and enhance our current portfolio of software products. If we do not sufficiently invest in new technology, adapt to industry developments, evolve and expand our business at sufficient speed and scale, or make the right strategic investments, or fail to timely deliver on our product roadmap for our portfolio of software products to respond to these developments and successfully drive innovation, our services and products, our results of operations, and our ability to develop and maintain a competitive advantage and execute on our growth strategy could be adversely affected. Additionally, as we expand our services and products into these new areas, we may be exposed to operational, legal, regulatory, ethical, technological and other risks specific to such new areas, which may negatively affect our reputation and demand for our services and products.</w:t>
      </w:r>
    </w:p>
    <w:p>
      <w:pPr>
        <w:spacing w:after="0" w:line="135"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b w:val="1"/>
          <w:bCs w:val="1"/>
          <w:color w:val="auto"/>
        </w:rPr>
        <w:t>Many of our client contracts are short-term in duration and may be terminated by our clients with little or no notice and without penalty, which may cause our operating results to be unpredictable and may result in unexpected declines in our utilization and revenues.</w:t>
      </w:r>
    </w:p>
    <w:p>
      <w:pPr>
        <w:spacing w:after="0" w:line="13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Our clients typically retain us on an engagement-by-engagement basis, rather than under fixed-term contracts, and many of our client contracts are 12 months or less in duration. The volume of work performed for any particular client is likely to vary from year to year, and a major client in one fiscal period may not require or may decide not to use our services in any subsequent fiscal period. Moreover, a large portion of our new engagements come from existing clients. Accordingly, the failure to obtain new large engagements or multiple engagements from existing or new clients could have a material adverse effect on the amount of revenues we generate.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addition, a large portion of our engagement agreements can be terminated by our clients with little or no notice and without penalty. In client engagements that involve multiple engagements or stages, there is a risk that a client may choose not to retain us for additional stages of an engagement or that a client will cancel or delay additional planned engagements. For clients in bankruptcy, a bankruptcy court could elect not to retain our interim management consultants, terminate our retention, require us to reduce our fees for the duration of an engagement, elect not to approve claims against fees earned by us prior to or after the bankruptcy filing, or subject previously paid amounts to be returned to the bankruptcy estate as preferential payments under the bankruptcy code.</w:t>
      </w:r>
    </w:p>
    <w:p>
      <w:pPr>
        <w:spacing w:after="0" w:line="15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Terminations of engagements, cancellations of portions of the project plan, delays in the work schedule, or reductions in fees could result from factors unrelated to our services. When engagements are terminated or reduced, we lose the associated future revenues, and we may not be able to recover associated costs or redeploy the affected employees in a timely manner to minimize the negative impact. In addition, our clients’ ability to terminate engagements with little or no notice and without penalty makes it difficult to predict our operating results in any particular fiscal period.</w:t>
      </w:r>
    </w:p>
    <w:p>
      <w:pPr>
        <w:spacing w:after="0" w:line="129"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b w:val="1"/>
          <w:bCs w:val="1"/>
          <w:color w:val="auto"/>
        </w:rPr>
        <w:t>Our ability to maintain and attract new business depends upon our reputation, the professional reputation of our revenue-generating employees, and the quality of our services.</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a professional services firm, our ability to secure new engagements depends heavily upon our reputation and the individual reputations of our professionals. Any factor that diminishes our reputation or that of our employees, including not meeting client expectations or misconduct by our employees, could make it substantially more difficult for us to attract new engagements and clients. Similarly, because we obtain many of our new engagements from former or current clients, or from referrals by those clients, or by law firms that we have worked with in the past, any client that questions the quality of our work or that of our consultants could impair our ability to secure additional new engagements and clients.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consulting services industry is highly competitive and we may not be able to compete effectively.</w:t>
      </w:r>
    </w:p>
    <w:p>
      <w:pPr>
        <w:spacing w:after="0" w:line="19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consulting services industry in which we operate includes a large number of participants and is intensely competitive. We face competition from other business operations and financial consulting firms, general management consulting firms, the consulting practices of major accounting firms, technical and economic advisory firms, regional and specialty consulting firms, consulting divisions of our technology partners, and the internal professional resources of organizations. In addition, because there are relatively low barriers to entry, we expect to continue to face competition from new entrants into the business operations and financial consulting industries. Competition in several of the sectors in which we operate is particularly intense as many of our competitors are seeking to expand their market share in these sectors. Many of our competitors have a greater national and international presence, as well as have a significantly greater number of personnel, financial, technical, and marketing resources. In addition, these competitors may generate greater revenues and have greater name recognition than we do. Some of our competitors may also have lower overhead and other costs and, therefore, may be able to more effectively compete through lower cost service offerings. Our ability to compete also depends in part on the ability of our competitors to hire, retain, and motivate skilled professionals, the price at which others offer comparable services, the ability of our competitors to offer new and valuable products and services to clients, and our competitors’ responsiveness to their clients. If we are unable to compete successfully with our existing competitors or with any new competitors, our financial results will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Information Technology</w:t>
      </w:r>
    </w:p>
    <w:p>
      <w:pPr>
        <w:spacing w:after="0" w:line="17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Our business is becoming increasingly dependent on information technology and will require additional investments in order to grow and meet the demands of our clients.</w:t>
      </w:r>
    </w:p>
    <w:p>
      <w:pPr>
        <w:spacing w:after="0" w:line="1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depend on the use of sophisticated technologies and systems. Many of our practices provide services that are increasingly dependent on the use of software applications and systems that we do not own and which could become unavailable. Moreover, our technology platforms will require continuing investments by us in order to expand existing service offerings and develop complementary services. For example, we have subscription-based offerings that require us to incur costs associated with upgrades and maintenance that could impact profit margins associated with those offerings and related services. Our future success depends on our ability to adapt our services and infrastructure while continuing to improve the performance, features, and reliability of our services in response to the evolving demands of the marketplace.</w:t>
      </w:r>
    </w:p>
    <w:p>
      <w:pPr>
        <w:spacing w:after="0" w:line="132"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b w:val="1"/>
          <w:bCs w:val="1"/>
          <w:color w:val="auto"/>
        </w:rPr>
        <w:t>Adverse changes to our relationships with key third-party vendors or the business of our key third-party vendors could unfavorably impact our business.</w:t>
      </w:r>
    </w:p>
    <w:p>
      <w:pPr>
        <w:spacing w:after="0" w:line="12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portion of our services and solutions depend on technology or software provided by third-party vendors. Some of these third-party vendors refer potential clients to us, and others require that we obtain their permission prior to accessing their software while performing services for our clients. These third-party vendors could terminate their relationship with us without cause and with little or no notice, which could limit our service offerings and harm our financial condition and operating results. In addition, if a third-party vendor’s business changes, is reduced, or fails to adapt to changing market demands, it could adversely affect our business. Moreover, if third-party technology or software that is important to our business does not continue to be available or utilized within the marketplace, or if the services that we provide to clients are no longer relevant in the marketplace, our business may be unfavorably impacted.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system failures, service interruptions, or security breaches that could negatively impact our business.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organization is comprised of employees who work on matters throughout the United States and around the world. Our technology platform is a “virtual office” from which we all operate. We may be subject to disruption to our operating systems from technology events that are beyond our control, including the possibility of failures at third-party data centers, disruptions to the internet, natural disasters, power losses, and malicious attacks. In addition, despite the implementation of security measures, our infrastructure and operating systems, including the internet and related systems, may be vulnerable to physical break-ins, hackers, improper employee or contractor access, computer viruses, programming errors, denial-of-service attacks, or other attacks by third parties seeking to disrupt operations or misappropriate information or similar physical or electronic breaches of security. While we have taken and are taking reasonable steps to prevent and mitigate the damage of such events, including implementation of system security measures, information backup, and disaster recovery processes, and where possible, obtaining insurance against such events, those steps may not be effective and there can be no assurance that any such steps can be effective against all possible risks. We will need to continue to invest in technology in order to achieve redundancies necessary to prevent service interruptions. Access to our systems as a result of a security breach, the failure of our systems, or the loss of data could result in legal claims or proceedings, liability, or regulatory penalties and disrupt operations, which could adversely affect our business and financial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Legal Matters</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Our reputation could be damaged and we could incur additional liabilities if we fail to protect client and employee data through our own accord or if our information systems are breached.</w:t>
      </w:r>
    </w:p>
    <w:p>
      <w:pPr>
        <w:spacing w:after="0" w:line="1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rely on information technology systems to process, transmit, and store electronic information and to communicate among our locations around the world and with our clients, partners, and employees. These locations include India, Canada, Switzerland, Singapore, and the United Kingdom, all of which have their own either recently updated or potential new data protection laws. The breadth and complexity of this infrastructure increases the potential risk of security breaches which could lead to potential unauthorized disclosure of confidential information.</w:t>
      </w:r>
    </w:p>
    <w:p>
      <w:pPr>
        <w:spacing w:after="0" w:line="1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providing services to clients, we may manage, utilize, and store sensitive or confidential client or employee data, including personal data and protected health information. As a result, we are subject to numerous laws and regulations designed to protect this information, such as the U.S. federal and state laws governing the protection of health or other personally identifiable information, including the Health Insurance Portability and Accountability Act (HIPAA), and international laws such as the European Union's General Data Protection Regulation (GDPR), which went into effect in 2018. In addition, many states, U.S. federal governmental authorities and non-U.S. jurisdictions have adopted, proposed or are considering adopting or proposing, additional data security and/or data privacy statutes or regulations. Continued governmental focus on data security and privacy may lead to additional legislative and regulatory action, which could increase the complexity of doing business. The increased emphasis on information security and the requirements to comply with applicable U.S. and foreign data security and privacy laws and regulations may increase our costs of doing business and negatively impact our results of operations.</w:t>
      </w:r>
    </w:p>
    <w:p>
      <w:pPr>
        <w:spacing w:after="0" w:line="15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These laws and regulations are increasing in complexity and number. If any person, including any of our employees or third-party vendors, negligently disregards or intentionally breaches our established controls or contractual obligations with respect to client or employee data, or otherwise mismanages or misappropriates that data, we could be subject to significant monetary damages, regulatory enforcement actions, fines, and/or criminal prosecution. We maintain certain insurance coverages for cybersecurity incidents through our directors and officers insurance policy, in amounts we believe to be reasonable and at a cost that is included in our general insurance premiums.</w:t>
      </w:r>
    </w:p>
    <w:p>
      <w:pPr>
        <w:spacing w:after="0" w:line="15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In addition, unauthorized disclosure of sensitive or confidential client or employee data, whether through systems failure, employee negligence, fraud, or misappropriation, could damage our reputation and cause us to lose clients and their related revenue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engagements could result in professional liability, which could be very costly and hurt our reputation.</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engagements typically involve complex analyses and the exercise of professional judgment. As a result, we are subject to the risk of professional liability. From time to time, lawsuits with respect to our work are pending. Litigation alleging that we performed negligently or breached any other obligations could expose us to significant legal liabilities and, regardless of outcome, is often very costly, could distract our management, could damage our reputation, and could harm our financial condition and operating results. We also face increased litigation risk as a result of an expanded workforce. In addition, certain of our engagements, including interim management engagements and corporate restructurings, involve greater risks than other consulting engagements. We are not always able to include provisions in our engagement agreements that are designed to limit our exposure to legal claims relating to our services. While we attempt to identify and mitigate our exposure with respect to liability arising out of our consulting engagements, these efforts may be ineffective and an actual or alleged error or omission on our part or the part of our client or other third parties in one or more of our engagements could have an adverse impact on our financial condition and results of operations. In addition, we carry professional liability insurance to cover many of these types of claims, but the policy limits and the breadth of coverage may be inadequate to cover any particular claim or all claims plus the cost of legal defense. For example, we provide services on engagements in which the impact on a client may substantially exceed the limits of our errors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and omissions insurance coverage. If we are found to have professional liability with respect to work performed on such an engagement, we may not have sufficient insurance to cover the entire liability.</w:t>
      </w:r>
    </w:p>
    <w:p>
      <w:pPr>
        <w:spacing w:after="0" w:line="12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Our business could be materially adversely affected if we incur liability in connection with service offering innovation, including new or expanded service offerings.</w:t>
      </w:r>
    </w:p>
    <w:p>
      <w:pPr>
        <w:spacing w:after="0" w:line="12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may grow our business through service offering innovation, including by entering into new or expanded lines of business beyond our core services. To the extent we enter into new or expanded lines of business, we may face new risks and uncertainties, including the possibility these new or expanded lines of business involve greater risks than our core services, that we have insufficient expertise to engage in such activities profitably or without incurring inappropriate amounts of risk, that the required investment of capital and other resources is greater than anticipated, and that we lose existing clients due to the perception that we are no longer focusing on our core business. Entry into new or expanded lines of business may also subject us to new laws and regulations with which we are not familiar and may lead to increased litigation and regulatory risk. For example, our recently launched Huron Managed Services business within the Healthcare industry provides revenue cycle managed services to hospitals and health systems. These services include the coding, preparation, submission and collection of claims for medical service to payors for reimbursement. Such claims are governed by U.S. federal and state laws. U.S. federal law provides civil liability to any persons that knowingly submit, or cause to be submitted, a claim to a payor, including Medicare, Medicaid and private health plans, seeking payment for any services or items that overbills or bills for services or items that have not been provided to the patient. U.S. federal law may also impose criminal penalties for intentionally submitting such false claims. In addition, federal and state law regulates the collection of debt and may impose monetary penalties for violating those regulations. In connection with these laws, we may be subjected to U.S. federal or state government investigations and possible penalties may be imposed upon us, false claims actions may have to be defended and private payors may file claims against us. Any investigation or proceeding related to these laws, even if unwarranted or without merit, may have a material adverse effect on our reputation, business, results of operations and financial condition.</w:t>
      </w:r>
    </w:p>
    <w:p>
      <w:pPr>
        <w:spacing w:after="0" w:line="132"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color w:val="auto"/>
        </w:rPr>
        <w:t>Our intellectual property rights in our “Huron Consulting Group” name are important, and any inability to use that name could negatively impact our ability to build brand identity.</w:t>
      </w:r>
    </w:p>
    <w:p>
      <w:pPr>
        <w:spacing w:after="0" w:line="12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believe that establishing, maintaining, and enhancing the “Huron Consulting Group” name and “Huron” brand is important to our business. We are, however, aware of a number of other companies that use names containing “Huron.” There could be potential trade name or service mark infringement claims brought against us by the users of these similar names and marks and those users may have trade name or service mark rights that are senior to ours. If another company were to successfully challenge our right to use our name, or if we were unable to prevent a competitor from using a name that is similar to our name, our ability to build brand identity could be negatively impacted.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 could preclude us from accepting engagements thereby causing decreased utilization and revenues.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provide services in connection with bankruptcy and other proceedings that usually involve sensitive client information and frequently are adversarial. In connection with bankruptcy proceedings, we are required by law to be “disinterested” and may not be able to provide multiple services to a particular client. In addition, our engagement agreement with a client or other business reasons may preclude us from accepting engagements from time to time with the client's competitors or adversaries. Moreover, in many industries in which we provide services, there has been a continuing trend toward business consolidations and strategic alliances. These consolidations and alliances reduce the number of companies that may seek our services and increase the chances that we will be unable to accept new engagements as a result of conflicts of interest. If we are unable to accept new engagements for any reason, our consultants may become underutilized, which would adversely affect our revenues and results of operations in future periods.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Financial Management and Performance</w:t>
      </w:r>
    </w:p>
    <w:p>
      <w:pPr>
        <w:spacing w:after="0" w:line="171"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color w:val="auto"/>
        </w:rPr>
        <w:t>Our financial results could suffer if we are unable to achieve or maintain adequate utilization and suitable billing rates for our consultants, or if we are slow to respond to the market's return to a predominantly in-person service delivery model.</w:t>
      </w:r>
    </w:p>
    <w:p>
      <w:pPr>
        <w:spacing w:after="0" w:line="12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profitability depends to a large extent on the utilization and billing rates of our professionals. Utilization of our professionals is affected by a number of factors, including:</w:t>
      </w:r>
    </w:p>
    <w:p>
      <w:pPr>
        <w:spacing w:after="0" w:line="9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number and size of client engagements;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timing of the commencement, completion and termination of engagements, which in many cases is unpredictable;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ability to transition our consultants efficiently from completed engagements to new engagements;</w:t>
      </w:r>
    </w:p>
    <w:p>
      <w:pPr>
        <w:spacing w:after="0" w:line="161" w:lineRule="exact"/>
        <w:rPr>
          <w:rFonts w:ascii="Arial" w:cs="Arial" w:eastAsia="Arial" w:hAnsi="Arial"/>
          <w:sz w:val="22"/>
          <w:szCs w:val="22"/>
          <w:color w:val="auto"/>
        </w:rPr>
      </w:pPr>
    </w:p>
    <w:p>
      <w:pPr>
        <w:ind w:left="660" w:right="100" w:hanging="328"/>
        <w:spacing w:after="0" w:line="225"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hiring of additional consultants because there is generally a transition period for new consultants that results in a temporary drop in our utilization rate;</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use of independent contractors as a substitute for hiring additional consultants;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unanticipated changes in the scope of client engagements;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our ability to forecast demand for our services and thereby maintain an appropriate level of consultants;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conditions affecting the industries in which we practice as well as general economic conditions.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billing rates of our consultants that we are able to charge are also affected by a number of factors, including:</w:t>
      </w:r>
    </w:p>
    <w:p>
      <w:pPr>
        <w:spacing w:after="0" w:line="12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our clients’ perception of our ability to add value through our services;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market demand for the services we provide;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an increase in the number of engagements in the government sector, which are subject to federal contracting regulations;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introduction of new services by us or our competitors;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our competition and the pricing policies of our competitors; and</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current economic conditions.</w:t>
      </w:r>
    </w:p>
    <w:p>
      <w:pPr>
        <w:spacing w:after="0" w:line="16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If we are unable to achieve and maintain adequate overall utilization as well as maintain or increase the billing rates for our consultants, our financial results could materially suffer. Prior to the COVID-19 pandemic, most of our consultants performed services at the physical locations of our clients. Starting in 2020, in response to the shut downs that resulted from the proliferation of the COVID-19 pandemic, substantially all of our services were delivered remotely. If we are out of step with a general market return to in-person service delivery, our business could be materially adversely affected.</w:t>
      </w:r>
    </w:p>
    <w:p>
      <w:pPr>
        <w:spacing w:after="0" w:line="12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Our quarterly and annual results of operations have fluctuated in the past and may continue to fluctuate in the future as a result of certain factors, some of which may be outside of our control.</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key element of our strategy is to market our products and services directly to certain large organizations, such as health systems and acute care hospitals and public universities, and to increase the number of our products and services utilized by existing clients. The sales cycle for some of our products and services is often lengthy and may involve significant commitment of client personnel. As a consequence, the commencement date of a client engagement often cannot be accurately forecasted. As discussed below, certain of our client contracts contain terms that result in revenue that is deferred and cannot be recognized until the occurrence of certain events. As a result, the period of time between contract signing and recognition of associated revenue may be lengthy, and we may not be able to predict with certainty the period in which revenue will be recognized.</w:t>
      </w:r>
    </w:p>
    <w:p>
      <w:pPr>
        <w:spacing w:after="0" w:line="15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Fee discounts, pressure to not increase or even decrease our rates, and less advantageous contract terms could result in the loss of clients, lower revenues and operating income, higher costs, and less profitable engagements. More discounts or write-offs than we expect in any period would have a negative impact on our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fluctuations in our results of operations may be due to a number of other factors, some of which are not within our control, including:</w:t>
      </w:r>
    </w:p>
    <w:p>
      <w:pPr>
        <w:spacing w:after="0" w:line="158" w:lineRule="exact"/>
        <w:rPr>
          <w:sz w:val="20"/>
          <w:szCs w:val="20"/>
          <w:color w:val="auto"/>
        </w:rPr>
      </w:pPr>
    </w:p>
    <w:p>
      <w:pPr>
        <w:ind w:left="660" w:right="120" w:hanging="328"/>
        <w:spacing w:after="0" w:line="225"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timing and volume of client invoices processed and payments received, which may affect the fees payable to us under certain of our engagements;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client decisions regarding renewal or termination of their contracts;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the amount and timing of costs related to the development or acquisition of technologies or businesses;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unforeseen legal expenses, including litigation and other settlement gains or losses.</w:t>
      </w:r>
    </w:p>
    <w:p>
      <w:pPr>
        <w:spacing w:after="0" w:line="16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Furthermore, we base our annual employee bonus expense, in part, upon our expected annual adjusted earnings before interest, taxes, depreciation and amortization (“EBITDA”) for that year. If we experience lower adjusted EBITDA in a quarter without a corresponding change to our full -year adjusted EBITDA expectation, our estimated bonus expense will not be reduced, which will have a negative impact on our quarterly results of operations for that quarter. Our quarterly results of operations may vary significantly and period-to-period comparisons of our results of operations may not be meaningful. The results of one quarter should not be relied upon as an indication of future performance.</w:t>
      </w:r>
    </w:p>
    <w:p>
      <w:pPr>
        <w:spacing w:after="0" w:line="1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If our quarterly or annual results of operations fall below the expectations of our annual and long-term forecasts, and therefore fall below the expectations of securities analysts or investors, the price of our common stock could decline substantially.</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color w:val="auto"/>
        </w:rPr>
        <w:t>Revenues from our performance-based engagements are difficult to predict, and the timing and extent of recovery of our costs is uncertain.</w:t>
      </w:r>
    </w:p>
    <w:p>
      <w:pPr>
        <w:spacing w:after="0" w:line="1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have certain engagement agreements under which our fees include a significant performance-based component. Performance-based fees are contingent on the achievement of specific measures, such as our clients meeting cost-saving or other contractually-defined goals. The achievement of these contractually-defined goals may be subject to acknowledgment by the client and is often impacted by factors outside of our control, such as the actions of the client or other third parties. To the extent that any revenue is contingent upon the achievement of a performance target, we recognize such revenue using a process that requires us to make significant management judgments, estimates, and assumptions. While we believe that the estimates and assumptions we have used for revenue recognition are reasonable, subsequent changes could have a material impact to our future financial results. A greater number of performance-based fee arrangements may result in increased volatility in our working capital requirements and greater variations in our quarter-to-quarter results, which could affect the price of our common stock. In addition, an increase in the proportion of performance-based fee arrangements may temporarily offset the positive effect on our operating results from an increase in our utilization rate until the related revenues are recognized.</w:t>
      </w:r>
    </w:p>
    <w:p>
      <w:pPr>
        <w:spacing w:after="0" w:line="11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color w:val="auto"/>
        </w:rPr>
        <w:t>The profitability of our fixed-fee engagements with clients may not meet our expectations if we underestimate the cost of these engagements.</w:t>
      </w:r>
    </w:p>
    <w:p>
      <w:pPr>
        <w:spacing w:after="0" w:line="12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When making proposals for fixed-fee engagements, we estimate the costs and timing for completing the engagements. These estimates reflect our best judgment regarding the efficiencies of our methodologies and consultants as we plan to deploy them on engagements. Any increased or unexpected costs, expansion in scope of work without a commensurate increase in fees, or unanticipated delays in connection with the performance of fixed-fee engagements, including delays caused by factors outside our control, could make these contracts less profitable or unprofitable, which would have an adverse effect on our profit margin.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performance might not be sufficient for us to meet the full-year financial guidance that we provide publicly.</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provide full-year financial guidance to the public based upon our expectations regarding our financial performance. While we believe that our annual financial guidance provides investors and analysts with insight to our view of the Company’s future performance, such financial guidance is based on assumptions that may not always prove to be accurate and may vary from actual results. If we fail to meet the full-year financial guidance that we provide, or if we find it necessary to revise or suspend such guidance during the year, the market value of our common stock could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Capital Resources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color w:val="auto"/>
        </w:rPr>
        <w:t>Our obligations under the Amended Credit Agreement are secured by a pledge of certain of the equity interests in our subsidiaries and a lien on substantially all of our assets and those of our subsidiary grantors. If we default on these obligations, our lenders may foreclose on our assets, including our pledged equity interest in our subsidiaries.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fourth quarter of 2022, we entered into a third amended and restated security agreement with Bank of America (the “Security Agreement”) and a third amended and restated pledge agreement (the “Pledge Agreement”) in connection with our entry into the Third Amended and Restated Credit Agreement, dated as of November 15, 2022 (the “Amended Credit Agreement”). Pursuant to the Security Agreement and to secure our obligations under the Amended Credit Agreement, we granted our lenders a first-priority lien, subject to permitted liens, on substantially all of the personal property assets that we and the subsidiary grantors own. Pursuant to the Pledge Agreement, we granted our lenders a security interest in 100% of the voting stock or other equity interests in our domestic subsidiaries and 65% of the voting stock or other equity interests in certain of our foreign subsidiaries. If we default on our obligations under the Amended Credit Agreement, our lenders could accelerate our indebtedness and may be able to exercise their liens on the equity interests subject to the Pledge Agreement and their liens on substantially all of our assets and the assets of our subsidiary grantors, which would have a material adverse effect on our business, operations, financial condition, and liquidity. In addition, the covenants contained in the Amended Credit Agreement impose restrictions on our ability to engage in certain activities, such as the incurrence of additional indebtedness, certain investments, certain acquisitions and dispositions, and the payment of dividends.</w:t>
      </w:r>
    </w:p>
    <w:p>
      <w:pPr>
        <w:spacing w:after="0" w:line="13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Our indebtedness could adversely affect our ability to raise additional capital to fund our operations and obligations, expose us to interest rate risk to the extent of our variable-rate debt, and adversely affect our financial results.</w:t>
      </w:r>
    </w:p>
    <w:p>
      <w:pPr>
        <w:spacing w:after="0" w:line="12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Amended Credit Agreement consists of a $600 million senior secured revolving credit facility. At December 31, 2022, we had outstanding indebtedness of $290.0 million on our revolving line of credit that becomes due and payable in full upon maturity on November 15, 2027. Our ability to make scheduled payments of the principal, to pay interest, or to refinance our indebtedness, depends on our future performance. If we are unable to generate cash flow from operations sufficient to satisfy our obligations under our current indebtedness and any future indebtedness, we may be required to adopt one or more alternatives, such as reducing or delaying investments or capital expenditures, selling assets, refinancing, or obtaining additional equity capital on terms that may be onerous or dilutive. Our ability to refinance our current indebtedness or future indebtedness will depend on the capital markets and our financial condition at such time. We may not be able to</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engage in any of these activities or engage in these activities on desirable terms, which could result in a default on the current indebtedness or future indebtedness.</w:t>
      </w:r>
    </w:p>
    <w:p>
      <w:pPr>
        <w:spacing w:after="0" w:line="14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such as exposing us to the risk of increased interest rates because our borrowings are at variable interest rates; making us more vulnerable to adverse changes in general U.S. and worldwide economic, industry, and competitive conditions and adverse changes in government regulation; or reducing our capacity to obtain additional financing and flexibility in planning for, or reacting to, changes in our business and our industry. Under the Amended Credit Agreement, we are obligated to pay interest at either one, three or six month Term SOFR or an alternate base rate, in each case plus an applicable margin. The Amended Credit Agreement replaced LIBOR with SOFR as the benchmark rate. SOFR is a relatively new reference rate, has a very limited history and is based on short-term repurchase agreements backed by Treasury securities. Changes in SOFR can be volatile and difficult to predict, and there is no assurance that SOFR will perform similarly to the way LIBOR, our previous benchmark rate, would have performed at any time. Any of these factors could materially and adversely affect our business,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Asset Impairment</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Our goodwill and other intangible assets represent a substantial amount of our total assets, and we may be required to recognize a non-cash impairment charge for these assets if the performance of one or more of our reporting units falls below our expectations.</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total assets reflect a substantial amount of goodwill and other intangible assets. At December 31, 2022, goodwill and other intangible assets totaled $648.4 million, or 54%, of our total assets. Goodwill results from our business acquisitions, representing the excess of the fair value of consideration transferred over the fair value of the net assets acquired. We test goodwill for impairment at the reporting unit level, annually and whenever events or circumstances make it more likely than not that an impairment may have occurred. Intangible assets other than goodwill represent purchased assets that lack physical substance but can be distinguished from goodwill. Our intangible assets primarily consist of customer relationships, trade names, technology and software and non-competition agreements, all of which were acquired through business acquisitions. We evaluate our intangible assets for impairment whenever events or changes in circumstances indicate that the carrying amount of the assets may not be recoverable. During the year ended December 31, 2020, we recorded non-cash goodwill impairment charges totaling $59.8 million related to reporting units within the legacy Business Advisory segment. During 2022 and 2021, we did not record any goodwill impairment charges. No impairment charges for other intangible assets were recorded in 2022, 2021, or 2020.</w:t>
      </w:r>
    </w:p>
    <w:p>
      <w:pPr>
        <w:spacing w:after="0" w:line="15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 goodwill impairment charge is recognized and also the magnitude of any such charge. 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additional goodwill impairment charges.</w:t>
      </w:r>
    </w:p>
    <w:p>
      <w:pPr>
        <w:spacing w:after="0" w:line="15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Refer to “Critical Accounting Policies and Estimates” within Part I - Item 7. “Management’s Discussion and Analysis of Financial Condition and Results of Operations” and Note 4 “Goodwill and Intangible Assets” within the notes to our consolidated financial statements for further discussion of our business combinations, goodwill, intangible assets, and impairment tests performed.</w:t>
      </w:r>
    </w:p>
    <w:p>
      <w:pPr>
        <w:spacing w:after="0" w:line="12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color w:val="auto"/>
        </w:rPr>
        <w:t>We may incur impairment charges with respect to our convertible debt investment in Shorelight or our preferred stock investment in Medically Home.</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Since 2014, we have invested $40.9 million, in the form of 1.69% convertible debt, in Shorelight Holdings, LLC (“Shorelight”), the parent company of Shorelight Education. Our investment is carried at its fair value of $57.6 million as of December 31, 2022, with unrealized holding gains and losses reported in other comprehensive income. As of December 31, 2022, our investment in Shorelight is in an unrealized gain position. If the investment were to be in an unrealized loss position due to significant credit deterioration of Shorelight, we would recognize an allowance to decrease the carrying value of the investment to the fair value, which may be reversed in the event that the credit of Shorelight improves. As of December 31, 2022, we have not recognized any credit allowance on our investment. In the future, if there are adverse developments in Shorelight's business that may be the result of events within or outside of Shorelight's control, we may incur impairment charges with respect to our convertible debt investment, which could materially impact our results of operations.</w:t>
      </w:r>
    </w:p>
    <w:p>
      <w:pPr>
        <w:spacing w:after="0" w:line="15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2019, we invested $5.0 million, in the form of preferred stock, in Medically Home Group, Inc. (“Medically Home”), a hospital-at-home company. Our investment is carried at its fair value of $33.6 million as of December 31, 2022, with unrealized holding gains and losses reported in our results of operations when a observable price change for preferred stock issued by Medically Home with similar rights and preferences to our preferred stock investment occurs. As of December 31, 2022, our investment in Medically Home is in an unrealized gain position. If there is a significant deterioration in the earnings performance, credit rating, or business prospects of Medically Home, or a significant adverse change in the regulatory, economic, or technological environment of Medically Home, we would evaluate our investment for impairment. If during such evaluation it was determined that the fair value of our investment was below its carrying value, we would recognize an impairment for such difference. As of December 31, 2022, we have not identified any indicators of impairment of our</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investment. In the future, if such indicators arise, we may incur impairment charges with respect to our preferred stock investment in Medically Home, which could materially impact our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Expanding our service offerings may involve additional risks and may not be profitable.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may choose to develop new service offerings or eliminate service offerings because of market opportunities or client demands.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Developing new service offerings involves inherent risks, including:</w:t>
      </w:r>
    </w:p>
    <w:p>
      <w:pPr>
        <w:spacing w:after="0" w:line="12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our inability to estimate demand for the new service offerings;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competition from more established market participants;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exposure to new legal and operational risks;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a lack of market understanding;</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unanticipated expenses to recruit and hire qualified consultants and to market our new service offerings;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unanticipated challenges with service delivery.</w:t>
      </w:r>
    </w:p>
    <w:p>
      <w:pPr>
        <w:spacing w:after="0" w:line="13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color w:val="auto"/>
        </w:rPr>
        <w:t>Changes in capital markets, legal or regulatory requirements, and general economic or other factors beyond our control could reduce demand for our services, in which case our revenues and profitability could decline.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outside of our control affect demand for our services. These include:</w:t>
      </w:r>
    </w:p>
    <w:p>
      <w:pPr>
        <w:spacing w:after="0" w:line="12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fluctuations in U.S. and global economies;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U.S. or global financial markets and the availability, costs, and terms of credit;</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changes in laws and regulations;</w:t>
      </w:r>
    </w:p>
    <w:p>
      <w:pPr>
        <w:spacing w:after="0" w:line="147" w:lineRule="exact"/>
        <w:rPr>
          <w:rFonts w:ascii="Arial" w:cs="Arial" w:eastAsia="Arial" w:hAnsi="Arial"/>
          <w:sz w:val="22"/>
          <w:szCs w:val="22"/>
          <w:color w:val="auto"/>
        </w:rPr>
      </w:pPr>
    </w:p>
    <w:p>
      <w:pPr>
        <w:ind w:left="660" w:right="380" w:hanging="328"/>
        <w:spacing w:after="0" w:line="225"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political unrest, war, terrorism, geopolitical uncertainties, trade policies and sanctions, including the ongoing repercussions of the conflict between Russia and Ukraine; and</w:t>
      </w:r>
    </w:p>
    <w:p>
      <w:pPr>
        <w:spacing w:after="0" w:line="149" w:lineRule="exact"/>
        <w:rPr>
          <w:rFonts w:ascii="Arial" w:cs="Arial" w:eastAsia="Arial" w:hAnsi="Arial"/>
          <w:sz w:val="22"/>
          <w:szCs w:val="22"/>
          <w:color w:val="auto"/>
        </w:rPr>
      </w:pPr>
    </w:p>
    <w:p>
      <w:pPr>
        <w:ind w:left="660" w:right="320" w:hanging="328"/>
        <w:spacing w:after="0" w:line="225"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other economic factors and general business conditions, including inflation, rising interest rates, and the negative impact from the COVID-19 pandemic and its downstream impacts.</w:t>
      </w:r>
    </w:p>
    <w:p>
      <w:pPr>
        <w:spacing w:after="0" w:line="1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example, some portion of the services we provide may be considered by our clients to be more discretionary in nature, as the demand for the services may be impacted by economic slowdowns. We are not able to predict the positive or negative effects that future events or changes to the U.S. or global economy, financial markets, or regulatory and business environment could have on our operations.</w:t>
      </w:r>
    </w:p>
    <w:p>
      <w:pPr>
        <w:spacing w:after="0" w:line="126"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auto"/>
        </w:rPr>
        <w:t>Changes in U.S. tax laws could have a material adverse effect on our business, cash flow, results of operations and financial condition.</w:t>
      </w:r>
    </w:p>
    <w:p>
      <w:pPr>
        <w:spacing w:after="0" w:line="12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are subject to income and other taxes in the U.S. at the state and federal level and also in foreign jurisdictions. Changes in applicable U.S. state, federal or foreign tax laws and regulations, or their interpretation and application, could materially affect our tax expense and profitability.</w:t>
      </w:r>
    </w:p>
    <w:p>
      <w:pPr>
        <w:spacing w:after="0" w:line="14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Future changes in tax laws, treaties or regulations, and their interpretation or enforcement, may be unpredictable, particularly as taxing jurisdictions face an increasing number of political, budgetary and other fiscal challenges. Tax rates in the jurisdictions in which we operate may change as a result of macroeconomic and other factors outside of our control, making it increasingly difficult for multinational corporations like ourselves to operate with certainty about taxation in many jurisdictions. As a result, we could be materially adversely affected by future changes in tax law or policy (or in their interpretation or enforcement) in the jurisdictions where we operate, including the United States, which could have a material adverse effect on our business, cash flow, results of operations, financial condition, as well as our effective income tax rate.</w:t>
      </w:r>
    </w:p>
    <w:p>
      <w:pPr>
        <w:spacing w:after="0" w:line="171"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9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do not own any real estate or other physical properties. Our administrative and principal executive offices are located at 550 W. Van Buren Street, Chicago, Illinois 60607. We believe that our office facilities are suitable and adequate for our business as it is presently conducted. See Note 5 “Leases” within the notes to our consolidated financial statements of this Annual Report on Form 10-K for additional information on our office facilities.</w:t>
      </w:r>
    </w:p>
    <w:p>
      <w:pPr>
        <w:spacing w:after="0" w:line="16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9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Note 18 "Commitments, Contingencies and Guarantees" included within the notes to our consolidated financial statements of this Annual Report on Form 10-K.</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any litigation or legal proceeding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pacing w:after="0" w:line="16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50" w:lineRule="exact"/>
        <w:rPr>
          <w:sz w:val="20"/>
          <w:szCs w:val="20"/>
          <w:color w:val="auto"/>
        </w:rPr>
      </w:pPr>
    </w:p>
    <w:p>
      <w:pPr>
        <w:ind w:left="1020" w:right="140" w:hanging="984"/>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93"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“HURN.” As of February 21, 2023, there were 295 registered holders of record of Huron’s common stock. A number of Huron’s stockholders hold their shares in street name; therefore, the Company believes that there are substantially more beneficial owners of its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have not declared or paid dividends on our common stock since we became a public company. Our board of directors re-evaluates this policy periodically. Any determination to pay cash dividends will be at the discretion of the board of directors and will be dependent upon our results of operations, financial condition, capital requirements, terms of our financing arrangements, and such other factors as the board of directors deems relevant. In addition, the amount of dividends we may pay is subject to the restricted payment provisions of our senior secured credit facility. See the Liquidity and Capital Resources section under Part II—Item 7. “Management's Discussion and Analysis of Financial Condition and Results of Operations” for further information on the restricted payment provisions of our senior secured credit facility.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9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information required by this item appears under Part III—Item 12. “Security Ownership of Certain Beneficial Owners and Management and Related Stockholders Matters.”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Stock Ownership Participation Program and 2012 Omnibus Incentive Plan permit the netting of common stock upon vesting of restricted stock awards to satisfy individual tax withholding requirements. During the quarter ended December 31, 2022, we reacquired 3,751 shares of common stock with a weighted average fair market value of $68.03 as a result of such tax withholdings.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 The share repurchase program has been subsequently extended and increased, most recently in the fourth quarter of 2022. The current authorization extends the share repurchase program through December 31, 2023 with a repurchase amount of $300 million, of which $108.9 million remains available as of December 31, 2022.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following table provides information with respect to purchases we made of our common stock during the year ended December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Dollar Value of</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Shares Purchased as</w:t>
            </w:r>
          </w:p>
        </w:tc>
        <w:tc>
          <w:tcPr>
            <w:tcW w:w="120" w:type="dxa"/>
            <w:vAlign w:val="bottom"/>
          </w:tcPr>
          <w:p>
            <w:pPr>
              <w:spacing w:after="0"/>
              <w:rPr>
                <w:sz w:val="16"/>
                <w:szCs w:val="16"/>
                <w:color w:val="auto"/>
              </w:rPr>
            </w:pPr>
          </w:p>
        </w:tc>
        <w:tc>
          <w:tcPr>
            <w:tcW w:w="190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9"/>
              </w:rPr>
              <w:t>Shares that May Yet</w:t>
            </w: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Part of Publicly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Be Purchased</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of 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99"/>
              </w:rPr>
              <w:t>Average Price</w:t>
            </w:r>
          </w:p>
        </w:tc>
        <w:tc>
          <w:tcPr>
            <w:tcW w:w="21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rPr>
              <w:t>Announced Plans or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under the Plans or</w:t>
            </w:r>
          </w:p>
        </w:tc>
        <w:tc>
          <w:tcPr>
            <w:tcW w:w="0" w:type="dxa"/>
            <w:vAlign w:val="bottom"/>
          </w:tcPr>
          <w:p>
            <w:pPr>
              <w:spacing w:after="0"/>
              <w:rPr>
                <w:sz w:val="1"/>
                <w:szCs w:val="1"/>
                <w:color w:val="auto"/>
              </w:rPr>
            </w:pPr>
          </w:p>
        </w:tc>
      </w:tr>
      <w:tr>
        <w:trPr>
          <w:trHeight w:val="266"/>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Period</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 xml:space="preserve">Purchased </w:t>
            </w:r>
            <w:r>
              <w:rPr>
                <w:rFonts w:ascii="Arial" w:cs="Arial" w:eastAsia="Arial" w:hAnsi="Arial"/>
                <w:sz w:val="23"/>
                <w:szCs w:val="23"/>
                <w:b w:val="1"/>
                <w:bCs w:val="1"/>
                <w:color w:val="auto"/>
                <w:w w:val="94"/>
                <w:vertAlign w:val="superscript"/>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Paid Per Share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6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 xml:space="preserve">Programs </w:t>
            </w:r>
            <w:r>
              <w:rPr>
                <w:rFonts w:ascii="Arial" w:cs="Arial" w:eastAsia="Arial" w:hAnsi="Arial"/>
                <w:sz w:val="23"/>
                <w:szCs w:val="23"/>
                <w:b w:val="1"/>
                <w:bCs w:val="1"/>
                <w:color w:val="auto"/>
                <w:w w:val="94"/>
                <w:vertAlign w:val="superscript"/>
              </w:rPr>
              <w:t>(2)</w:t>
            </w:r>
          </w:p>
        </w:tc>
        <w:tc>
          <w:tcPr>
            <w:tcW w:w="0" w:type="dxa"/>
            <w:vAlign w:val="bottom"/>
          </w:tcPr>
          <w:p>
            <w:pPr>
              <w:spacing w:after="0"/>
              <w:rPr>
                <w:sz w:val="1"/>
                <w:szCs w:val="1"/>
                <w:color w:val="auto"/>
              </w:rPr>
            </w:pPr>
          </w:p>
        </w:tc>
      </w:tr>
      <w:tr>
        <w:trPr>
          <w:trHeight w:val="223"/>
        </w:trPr>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First quarter total</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662,890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46.42</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523,399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106,266,001</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Second quarter total</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500,131</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56.90</w:t>
            </w: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497,547</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77,919,714</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Third quarter total</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693,661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66.48</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685,641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32,316,573</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October 1, 2022 – October 31, 2022</w:t>
            </w:r>
          </w:p>
        </w:tc>
        <w:tc>
          <w:tcPr>
            <w:tcW w:w="1460" w:type="dxa"/>
            <w:vAlign w:val="bottom"/>
          </w:tcPr>
          <w:p>
            <w:pPr>
              <w:jc w:val="right"/>
              <w:spacing w:after="0"/>
              <w:rPr>
                <w:sz w:val="20"/>
                <w:szCs w:val="20"/>
                <w:color w:val="auto"/>
              </w:rPr>
            </w:pPr>
            <w:r>
              <w:rPr>
                <w:rFonts w:ascii="Arial" w:cs="Arial" w:eastAsia="Arial" w:hAnsi="Arial"/>
                <w:sz w:val="18"/>
                <w:szCs w:val="18"/>
                <w:color w:val="auto"/>
              </w:rPr>
              <w:t>243,227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69.80</w:t>
            </w: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239,798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115,563,830</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1, 2022 – November 30, 2022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73.59</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112,856,000</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December 1, 2022 – December 31, 2022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54,587</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73.12</w:t>
            </w:r>
          </w:p>
        </w:tc>
        <w:tc>
          <w:tcPr>
            <w:tcW w:w="12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54,587</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108,863,049</w:t>
            </w:r>
          </w:p>
        </w:tc>
        <w:tc>
          <w:tcPr>
            <w:tcW w:w="0" w:type="dxa"/>
            <w:vAlign w:val="bottom"/>
          </w:tcPr>
          <w:p>
            <w:pPr>
              <w:spacing w:after="0"/>
              <w:rPr>
                <w:sz w:val="1"/>
                <w:szCs w:val="1"/>
                <w:color w:val="auto"/>
              </w:rPr>
            </w:pPr>
          </w:p>
        </w:tc>
      </w:tr>
      <w:tr>
        <w:trPr>
          <w:trHeight w:val="223"/>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Fourth quarter 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334,916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70.76</w:t>
            </w:r>
          </w:p>
        </w:tc>
        <w:tc>
          <w:tcPr>
            <w:tcW w:w="12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331,165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108,863,049</w:t>
            </w:r>
          </w:p>
        </w:tc>
        <w:tc>
          <w:tcPr>
            <w:tcW w:w="0" w:type="dxa"/>
            <w:vAlign w:val="bottom"/>
          </w:tcPr>
          <w:p>
            <w:pPr>
              <w:spacing w:after="0"/>
              <w:rPr>
                <w:sz w:val="1"/>
                <w:szCs w:val="1"/>
                <w:color w:val="auto"/>
              </w:rPr>
            </w:pPr>
          </w:p>
        </w:tc>
      </w:tr>
      <w:tr>
        <w:trPr>
          <w:trHeight w:val="223"/>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2022 Full year 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2,191,598</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58.88</w:t>
            </w:r>
          </w:p>
        </w:tc>
        <w:tc>
          <w:tcPr>
            <w:tcW w:w="12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2,037,752</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108,863,049</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40" w:right="260" w:hanging="332"/>
        <w:spacing w:after="0" w:line="254" w:lineRule="auto"/>
        <w:tabs>
          <w:tab w:leader="none" w:pos="37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repurchased in the first, second and third quarters of 2022 included 139,491, 2,584, and 8,020 shares, respectively, to satisfy employee tax withholding requirements. Additionally, in the fourth quarter of 2022, 3,429 shares in October and 322 shares in November were repurchased to satisfy employee tax withholding requirements. These shares do not reduce the repurchase authority under the Share Repurchase Program.</w:t>
      </w:r>
    </w:p>
    <w:p>
      <w:pPr>
        <w:spacing w:after="0" w:line="149"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19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w:t>
      </w:r>
      <w:r>
        <w:rPr>
          <w:rFonts w:ascii="Arial" w:cs="Arial" w:eastAsia="Arial" w:hAnsi="Arial"/>
          <w:sz w:val="18"/>
          <w:szCs w:val="18"/>
          <w:color w:val="auto"/>
        </w:rPr>
        <w:t>“</w:t>
      </w:r>
      <w:r>
        <w:rPr>
          <w:rFonts w:ascii="Arial" w:cs="Arial" w:eastAsia="Arial" w:hAnsi="Arial"/>
          <w:sz w:val="18"/>
          <w:szCs w:val="18"/>
          <w:i w:val="1"/>
          <w:iCs w:val="1"/>
          <w:color w:val="auto"/>
        </w:rPr>
        <w:t>MD&amp;A</w:t>
      </w:r>
      <w:r>
        <w:rPr>
          <w:rFonts w:ascii="Arial" w:cs="Arial" w:eastAsia="Arial" w:hAnsi="Arial"/>
          <w:sz w:val="18"/>
          <w:szCs w:val="18"/>
          <w:color w:val="auto"/>
        </w:rPr>
        <w:t>”</w:t>
      </w:r>
      <w:r>
        <w:rPr>
          <w:rFonts w:ascii="Arial" w:cs="Arial" w:eastAsia="Arial" w:hAnsi="Arial"/>
          <w:sz w:val="18"/>
          <w:szCs w:val="18"/>
          <w:i w:val="1"/>
          <w:iCs w:val="1"/>
          <w:color w:val="auto"/>
        </w:rPr>
        <w:t xml:space="preserve">) should be read in conjunction with our Consolidated Financial Statements and related notes appearing under Part II—Item 8. </w:t>
      </w:r>
      <w:r>
        <w:rPr>
          <w:rFonts w:ascii="Arial" w:cs="Arial" w:eastAsia="Arial" w:hAnsi="Arial"/>
          <w:sz w:val="18"/>
          <w:szCs w:val="18"/>
          <w:color w:val="auto"/>
        </w:rPr>
        <w:t>“</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w:t>
      </w:r>
      <w:r>
        <w:rPr>
          <w:rFonts w:ascii="Arial" w:cs="Arial" w:eastAsia="Arial" w:hAnsi="Arial"/>
          <w:sz w:val="18"/>
          <w:szCs w:val="18"/>
          <w:i w:val="1"/>
          <w:iCs w:val="1"/>
          <w:color w:val="auto"/>
        </w:rPr>
        <w:t xml:space="preserve"> The following MD&amp;A contains forward-looking statements and involves numerous risks and uncertainties, including, without limitation, those described under Part I—Item 1A.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Forward-Looking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of this Annual Report on Form 10-K. Actual results may differ materially from those contained in any forward-looking statements.</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The following information summarizes our results of operations for 2022, 2021, and 2020; and discusses those results of operations for 2022 compared to 2021. Additionally, as a result of our operating segment modification effective January 1, 2022, the following MD&amp;A discusses the segment revenue and operating income for 2021 compared to 2020. For a discussion of our consolidated results of operations for 2021 compared to 2020, which were not impacted by the operating segment modification, refer to Part II—Item 7. "Management’s Discussion and Analysis of Financial Condition and Results of Operations" of the Annual Report on Form 10-K for the year ended December 31, 2021, which was filed with the United States Securities and Exchange Commission on February 24,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Huron is a global professional services firm that partners with clients to develop growth strategies, optimize operations and accelerate digital transformation using an enterprise portfolio of technology, data and analytics solutions to empower clients to own their future. By collaborating with clients, embracing diverse perspectives, encouraging new ideas and challenging the status quo, we create sustainable results for the organizations we serve.</w:t>
      </w:r>
    </w:p>
    <w:p>
      <w:pPr>
        <w:spacing w:after="0" w:line="1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provide our services and manage our business under three operating segments: Healthcare, Education and Commercial. We also provide revenue reporting across two principal capabilities: i) Consulting and Managed Services and ii) Digital. See Part I—Item 1. “Business —Overview—Our Services” and Note 19 “Segment Information” within the notes to our consolidated financial statements for a discussion of our segments and capabilities, as well as information on the modification to our reportable segments effective January 1, 2022. As a result of the modification, we recast our historical segment information for consistent presentation. Our historical consolidated results have not been impacted.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revenues are primarily generated by our employees who provide consulting and other professional services to our clients and are billable to our clients based on the number of hours worked, services provided, or achieved outcomes. We refer to these employees as our revenue-generating professionals. Revenues are primarily driven by the number of revenue-generating professionals we employ as well as the total value, scope, and terms of the consulting contracts under which they provide services. We also engage independent contractors to supplement our revenue-generating professionals on client engagements as needed.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generate our revenues from providing professional services and software products under the following four types of billing arrangements: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fixed-fee (including software license revenue); time-and-expense; performance-based; and software support, maintenance and subscriptions.</w:t>
      </w:r>
    </w:p>
    <w:p>
      <w:pPr>
        <w:spacing w:after="0" w:line="171" w:lineRule="exact"/>
        <w:rPr>
          <w:sz w:val="20"/>
          <w:szCs w:val="20"/>
          <w:color w:val="auto"/>
        </w:rPr>
      </w:pPr>
    </w:p>
    <w:p>
      <w:pPr>
        <w:ind w:left="660" w:right="40" w:hanging="328"/>
        <w:spacing w:after="0" w:line="254"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Fixed-fee (including software license revenue): In fixed-fee billing arrangements, we agree to a pre-established fee in exchange for a predetermined set of professional services. We set the fees based on our estimates of the costs and timing for completing the engagements. Fixed-fee arrangements also include software licenses for our revenue cycle management software and research administration and compliance software.</w:t>
      </w:r>
    </w:p>
    <w:p>
      <w:pPr>
        <w:spacing w:after="0" w:line="149" w:lineRule="exact"/>
        <w:rPr>
          <w:rFonts w:ascii="Arial" w:cs="Arial" w:eastAsia="Arial" w:hAnsi="Arial"/>
          <w:sz w:val="18"/>
          <w:szCs w:val="18"/>
          <w:color w:val="auto"/>
        </w:rPr>
      </w:pPr>
    </w:p>
    <w:p>
      <w:pPr>
        <w:ind w:left="660" w:right="500" w:hanging="328"/>
        <w:spacing w:after="0" w:line="256"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Time-and-expense: Under time-and-expense billing arrangements, we require the client to pay based on the number of hours worked by our revenue-generating professionals at agreed upon rates. Time-and-expense arrangements also include speaking engagements, conferences and publications purchased by our clients.</w:t>
      </w:r>
    </w:p>
    <w:p>
      <w:pPr>
        <w:spacing w:after="0" w:line="147" w:lineRule="exact"/>
        <w:rPr>
          <w:rFonts w:ascii="Arial" w:cs="Arial" w:eastAsia="Arial" w:hAnsi="Arial"/>
          <w:sz w:val="18"/>
          <w:szCs w:val="18"/>
          <w:color w:val="auto"/>
        </w:rPr>
      </w:pPr>
    </w:p>
    <w:p>
      <w:pPr>
        <w:ind w:left="660" w:right="20" w:hanging="328"/>
        <w:spacing w:after="0" w:line="252"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Performance-based: 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Often, performance-based fees supplement our time-and-expense or fixed-fee engagements. The level of performance-based fees earned may vary based on our clients’ risk sharing preferences and the mix of services we provide.</w:t>
      </w:r>
    </w:p>
    <w:p>
      <w:pPr>
        <w:spacing w:after="0" w:line="153" w:lineRule="exact"/>
        <w:rPr>
          <w:rFonts w:ascii="Arial" w:cs="Arial" w:eastAsia="Arial" w:hAnsi="Arial"/>
          <w:sz w:val="18"/>
          <w:szCs w:val="18"/>
          <w:color w:val="auto"/>
        </w:rPr>
      </w:pPr>
    </w:p>
    <w:p>
      <w:pPr>
        <w:ind w:left="660" w:hanging="328"/>
        <w:spacing w:after="0" w:line="254"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Software support, maintenance and subscriptions: 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5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quarterly results are impacted principally by the total value, scope, and terms of our client contracts, the number of our revenue-generating professionals who are available to work, our revenue-generating professionals' utilization rate, and the bill rates we charge our clients.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193"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Reimbursable expenses that are billed to clients, primarily relating to travel and out-of-pocket expenses incurred in connection with client engagements, are included in total revenues and reimbursable expenses. We manage our business on the basis of revenues before reimbursable expenses, which we believe is the most accurate reflection of our services because it eliminates the effect of reimbursable expenses that we bill to our clients at cost.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9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most significant expenses are costs classified as direct costs. Direct costs primarily consist of payroll costs for our revenue-generating professionals, which includes salaries, performance bonuses, share-based compensation, signing and retention bonuses, payroll taxes and benefits. Direct costs also include fees paid to independent contractors that we retain to supplement our revenue-generating professionals, typically on an as-needed basis for specific client engagements, and technology costs, product and event costs, and commissions. Direct costs exclude amortization of intangible assets and software development costs and reimbursable expenses, both of which are separately presented in our consolidated statements of operations.</w:t>
      </w:r>
    </w:p>
    <w:p>
      <w:pPr>
        <w:spacing w:after="0" w:line="15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Selling, general and administrative expenses consist primarily of salaries, performance bonuses, share-based compensation, payroll taxes and benefits for our support personnel. Also included in selling, general and administrative expenses is third-party professional fees, software licenses and data hosting expenses, rent and other office related expenses, sales and marketing related expenses, recruiting and training expenses, and practice administration and meetings expenses.</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Other operating expenses include restructuring charges, depreciation expense, amortization expense related to internally developed software costs and amortization of intangible assets acquired in business combinations. In the first quarter of 2022, we began presenting depreciation and amortization expense in the aggregate with amortization of intangible assets and software development costs that were previously presented separately within total direct costs and reimbursable expenses. We have recast our historical presentation of our consolidated statement of operations for consistent presentation.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Segment operating income consists of the revenues generated by a segment, less operating expenses that are incurred directly by the segment. Other operating expenses not allocated at the segment level include corporate costs related to administrative functions that are performed in a centralized manner that are not attributable to a particular segment. These administrative function costs include corporate office support costs, office facility costs, costs related to accounting and finance, human resources, legal, marketing, information technology, and company-wide business development functions, and costs related to overall corporate management.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also assess our results of operations using the following non-GAAP financial measures: earnings before interest, taxes, depreciation and amortization (“EBITDA”), adjusted EBITDA, adjusted EBITDA as a percentage of revenues, adjusted net income from continuing operations, and adjusted diluted earnings per share ("EPS") from continuing operations. These non-GAAP financial measures differ from GAAP because they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53"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5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exclude the effect of amortization of intangible assets from the calculation of adjusted net income, as it</w:t>
      </w:r>
      <w:r>
        <w:rPr>
          <w:rFonts w:ascii="Arial" w:cs="Arial" w:eastAsia="Arial" w:hAnsi="Arial"/>
          <w:sz w:val="18"/>
          <w:szCs w:val="18"/>
          <w:i w:val="1"/>
          <w:iCs w:val="1"/>
          <w:color w:val="auto"/>
        </w:rPr>
        <w:t xml:space="preserve"> </w:t>
      </w:r>
      <w:r>
        <w:rPr>
          <w:rFonts w:ascii="Arial" w:cs="Arial" w:eastAsia="Arial" w:hAnsi="Arial"/>
          <w:sz w:val="18"/>
          <w:szCs w:val="18"/>
          <w:color w:val="auto"/>
        </w:rPr>
        <w:t>is inconsistent in its amount and frequency and is significantly affected by the timing and size of our acquisitions.</w:t>
      </w:r>
    </w:p>
    <w:p>
      <w:pPr>
        <w:spacing w:after="0" w:line="1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Restructuring and other charges: </w:t>
      </w:r>
      <w:r>
        <w:rPr>
          <w:rFonts w:ascii="Arial" w:cs="Arial" w:eastAsia="Arial" w:hAnsi="Arial"/>
          <w:sz w:val="18"/>
          <w:szCs w:val="18"/>
          <w:color w:val="auto"/>
        </w:rPr>
        <w:t>We have incurred charges due to the restructuring of various parts of our business, including restructuring</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related to the sale of the Life Sciences business in the fourth quarter of 2021 and the restructuring plan announced in the fourth quarter of 2020 to reduce operating costs to address the impact of the COVID-19 pandemic on our business. Restructuring charges primarily consist of costs associated with office space consolidations, including lease impairment charges and accelerated depreciation on lease-related property and equipment, and employee-related charges. Additionally, we have excluded the effect of a $0.8 million one-time charge incurred during the first quarter of 2020 related to redundant administrative costs in our corporate operations which is recorded within selling, general and administrative expenses on our consolidated statement of operations. We exclude the effect of the restructuring and other charges from our non-GAAP measures to permit comparability with periods that were not impacted by these items.</w:t>
      </w:r>
    </w:p>
    <w:p>
      <w:pPr>
        <w:spacing w:after="0" w:line="13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Other losses (gains): </w:t>
      </w:r>
      <w:r>
        <w:rPr>
          <w:rFonts w:ascii="Arial" w:cs="Arial" w:eastAsia="Arial" w:hAnsi="Arial"/>
          <w:sz w:val="18"/>
          <w:szCs w:val="18"/>
          <w:color w:val="auto"/>
        </w:rPr>
        <w:t>We exclude the effects of other losses (gains), which primarily relate to changes in the estimated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contingent consideration related to business acquisitions and litigation settlement losses and gains, to permit comparability with periods that are not impacted by these items.</w:t>
      </w:r>
    </w:p>
    <w:p>
      <w:pPr>
        <w:spacing w:after="0" w:line="122"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i w:val="1"/>
          <w:iCs w:val="1"/>
          <w:color w:val="auto"/>
        </w:rPr>
        <w:t>Transaction-related expenses</w:t>
      </w:r>
      <w:r>
        <w:rPr>
          <w:rFonts w:ascii="Arial" w:cs="Arial" w:eastAsia="Arial" w:hAnsi="Arial"/>
          <w:sz w:val="18"/>
          <w:szCs w:val="18"/>
          <w:color w:val="auto"/>
        </w:rPr>
        <w:t>: To permit comparability with prior periods, we exclude the impact of third-party legal and accounting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related to business acquisitions.</w:t>
      </w:r>
    </w:p>
    <w:p>
      <w:pPr>
        <w:spacing w:after="0" w:line="108"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i w:val="1"/>
          <w:iCs w:val="1"/>
          <w:color w:val="auto"/>
        </w:rPr>
        <w:t xml:space="preserve">Goodwill impairment charges: </w:t>
      </w:r>
      <w:r>
        <w:rPr>
          <w:rFonts w:ascii="Arial" w:cs="Arial" w:eastAsia="Arial" w:hAnsi="Arial"/>
          <w:sz w:val="18"/>
          <w:szCs w:val="18"/>
          <w:color w:val="auto"/>
        </w:rPr>
        <w:t>We exclude the effect of goodwill impairment charges as these are infrequent events and their exclusion</w:t>
      </w:r>
      <w:r>
        <w:rPr>
          <w:rFonts w:ascii="Arial" w:cs="Arial" w:eastAsia="Arial" w:hAnsi="Arial"/>
          <w:sz w:val="18"/>
          <w:szCs w:val="18"/>
          <w:i w:val="1"/>
          <w:iCs w:val="1"/>
          <w:color w:val="auto"/>
        </w:rPr>
        <w:t xml:space="preserve"> </w:t>
      </w:r>
      <w:r>
        <w:rPr>
          <w:rFonts w:ascii="Arial" w:cs="Arial" w:eastAsia="Arial" w:hAnsi="Arial"/>
          <w:sz w:val="18"/>
          <w:szCs w:val="18"/>
          <w:color w:val="auto"/>
        </w:rPr>
        <w:t>permits comparability with periods that were not impacted by such charges.</w:t>
      </w:r>
    </w:p>
    <w:p>
      <w:pPr>
        <w:spacing w:after="0" w:line="10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Unrealized gain on preferred stock investment: </w:t>
      </w:r>
      <w:r>
        <w:rPr>
          <w:rFonts w:ascii="Arial" w:cs="Arial" w:eastAsia="Arial" w:hAnsi="Arial"/>
          <w:sz w:val="18"/>
          <w:szCs w:val="18"/>
          <w:color w:val="auto"/>
        </w:rPr>
        <w:t>We exclude the effect of unrealized gains related to changes in the fair value of our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investment in Medically Home Group, Inc. (“Medically Home”), which are recognized when an observable price change occurs. These unrealized gains are included as a component of other income (expense), net. We believe that these unrealized gains are not indicative of the ongoing performance of our business and their exclusion permits comparability with prior periods.</w:t>
      </w:r>
    </w:p>
    <w:p>
      <w:pPr>
        <w:spacing w:after="0" w:line="126"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Losses (gains) on sales of businesses: </w:t>
      </w:r>
      <w:r>
        <w:rPr>
          <w:rFonts w:ascii="Arial" w:cs="Arial" w:eastAsia="Arial" w:hAnsi="Arial"/>
          <w:sz w:val="18"/>
          <w:szCs w:val="18"/>
          <w:color w:val="auto"/>
        </w:rPr>
        <w:t>We exclude the effect of non-operating losses and gains recognized as a result of sales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as they are infrequent, management believes that these items are not indicative of the ongoing performance of our business, and their exclusion permits comparability with periods that were not impacted by such items. The 2021 gain relates to the sale of our Life Sciences business in the fourth quarter of 2021, and the 2020 loss primarily relates to the sale of our U.K. life sciences drug safety practice in the fourth quarter of 2020.</w:t>
      </w:r>
    </w:p>
    <w:p>
      <w:pPr>
        <w:spacing w:after="0" w:line="12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i w:val="1"/>
          <w:iCs w:val="1"/>
          <w:color w:val="auto"/>
        </w:rPr>
        <w:t xml:space="preserve">Foreign currency transaction losses (gains), net: </w:t>
      </w:r>
      <w:r>
        <w:rPr>
          <w:rFonts w:ascii="Arial" w:cs="Arial" w:eastAsia="Arial" w:hAnsi="Arial"/>
          <w:sz w:val="18"/>
          <w:szCs w:val="18"/>
          <w:color w:val="auto"/>
        </w:rPr>
        <w:t>We exclude the effect of foreign currency transaction losses and gains from the calculation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adjusted EBITDA because the amount of each loss or gain is significantly affected by changes in foreign exchange rates.</w:t>
      </w:r>
    </w:p>
    <w:p>
      <w:pPr>
        <w:spacing w:after="0" w:line="108" w:lineRule="exact"/>
        <w:rPr>
          <w:sz w:val="20"/>
          <w:szCs w:val="20"/>
          <w:color w:val="auto"/>
        </w:rPr>
      </w:pPr>
    </w:p>
    <w:p>
      <w:pPr>
        <w:ind w:right="1020"/>
        <w:spacing w:after="0" w:line="282" w:lineRule="auto"/>
        <w:rPr>
          <w:sz w:val="20"/>
          <w:szCs w:val="20"/>
          <w:color w:val="auto"/>
        </w:rPr>
      </w:pPr>
      <w:r>
        <w:rPr>
          <w:rFonts w:ascii="Arial" w:cs="Arial" w:eastAsia="Arial" w:hAnsi="Arial"/>
          <w:sz w:val="18"/>
          <w:szCs w:val="18"/>
          <w:i w:val="1"/>
          <w:iCs w:val="1"/>
          <w:color w:val="auto"/>
        </w:rPr>
        <w:t xml:space="preserve">Tax effect of adjustments: </w:t>
      </w:r>
      <w:r>
        <w:rPr>
          <w:rFonts w:ascii="Arial" w:cs="Arial" w:eastAsia="Arial" w:hAnsi="Arial"/>
          <w:sz w:val="18"/>
          <w:szCs w:val="18"/>
          <w:color w:val="auto"/>
        </w:rPr>
        <w:t>The non-GAAP income tax adjustment reflects the incremental tax impact applicable to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w:t>
      </w:r>
    </w:p>
    <w:p>
      <w:pPr>
        <w:spacing w:after="0" w:line="10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exclude the effects of income tax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net of interest income, and depreciation and amortization in the calculation of EBITDA, as these are customary exclusions as defined by the calculation of EBITDA to arrive at meaningful earnings from core operations excluding the effect of such items. We include, within the depreciation and amortization adjustment, the amortization of capitalized implementation costs of our enterprise resource planning ("ERP") and other related software, which is included within selling, general and administrative expenses on our consolidated statements of operations.</w:t>
      </w:r>
    </w:p>
    <w:p>
      <w:pPr>
        <w:spacing w:after="0" w:line="13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Adjusted weighted average shares - diluted: </w:t>
      </w:r>
      <w:r>
        <w:rPr>
          <w:rFonts w:ascii="Arial" w:cs="Arial" w:eastAsia="Arial" w:hAnsi="Arial"/>
          <w:sz w:val="18"/>
          <w:szCs w:val="18"/>
          <w:color w:val="auto"/>
        </w:rPr>
        <w:t>As we reported a net loss for the year ended December 31, 2020, GAAP diluted weighted</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shares outstanding equals the basic weighted average shares outstanding for that period. For the year ended December 31, 2020,</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non-GAAP adjustments described above resulted in adjusted net income from continuing operations. Therefore, we include the dilutive common stock equivalents in the calculation of adjusted diluted weighted average shares outstanding for that period.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Revenue-Generating Professionals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revenue-generating professionals consist of our full-time consultants who generate revenues based on the number of hours worked; full-time equivalents, which consists of coaches and their support staff within the Culture and Organizational excellence solution, consultants who work variable schedules as needed by clients, and full-time employees who provide software support and maintenance services to clients; and our Healthcare Managed Services employees who provide revenue cycle billing, collections insurance verification and change integrity services to clients.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Utilization Rate</w:t>
      </w:r>
    </w:p>
    <w:p>
      <w:pPr>
        <w:spacing w:after="0" w:line="193" w:lineRule="exact"/>
        <w:rPr>
          <w:sz w:val="20"/>
          <w:szCs w:val="20"/>
          <w:color w:val="auto"/>
        </w:rPr>
      </w:pPr>
    </w:p>
    <w:p>
      <w:pPr>
        <w:jc w:val="both"/>
        <w:ind w:right="100"/>
        <w:spacing w:after="0" w:line="250" w:lineRule="auto"/>
        <w:rPr>
          <w:sz w:val="20"/>
          <w:szCs w:val="20"/>
          <w:color w:val="auto"/>
        </w:rPr>
      </w:pPr>
      <w:r>
        <w:rPr>
          <w:rFonts w:ascii="Arial" w:cs="Arial" w:eastAsia="Arial" w:hAnsi="Arial"/>
          <w:sz w:val="18"/>
          <w:szCs w:val="18"/>
          <w:color w:val="auto"/>
        </w:rPr>
        <w:t>The utilization rate of our revenue-generating professionals is calculated by dividing the number of hours our billable consultants worked on client assignments during a period by the total available working hours for these billable consultants during the same period. Available hours are determined by the standard hours worked by each billable consultant, adjusted for part-time hours, and U.S. standard work weeks.</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Available working hours exclude local country holidays and vacation days. 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Highlights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year ended December 31, 2022 include:</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Total revenues increased 25.0% to $1.13 billion in 2022 from $905.6 million in 2021</w:t>
      </w:r>
    </w:p>
    <w:p>
      <w:pPr>
        <w:spacing w:after="0" w:line="117" w:lineRule="exact"/>
        <w:rPr>
          <w:rFonts w:ascii="Arial" w:cs="Arial" w:eastAsia="Arial" w:hAnsi="Arial"/>
          <w:sz w:val="18"/>
          <w:szCs w:val="18"/>
          <w:b w:val="1"/>
          <w:bCs w:val="1"/>
          <w:color w:val="auto"/>
        </w:rPr>
      </w:pPr>
    </w:p>
    <w:p>
      <w:pPr>
        <w:ind w:left="660" w:hanging="328"/>
        <w:spacing w:after="0"/>
        <w:tabs>
          <w:tab w:leader="none" w:pos="6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Revenues within our Digital capability increased 41.4% to $494.5 million in 2022 from $349.7 million 2021</w:t>
      </w:r>
    </w:p>
    <w:p>
      <w:pPr>
        <w:spacing w:after="0" w:line="117"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Operating margin increased to 8.8% for 2022, compared to 5.8% for 2021</w:t>
      </w:r>
    </w:p>
    <w:p>
      <w:pPr>
        <w:spacing w:after="0" w:line="117"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Diluted EPS from continuing operations increased 26.0% to $3.64 for 2022, compared to $2.89 for 2021</w:t>
      </w:r>
    </w:p>
    <w:p>
      <w:pPr>
        <w:spacing w:after="0" w:line="117" w:lineRule="exact"/>
        <w:rPr>
          <w:rFonts w:ascii="Arial" w:cs="Arial" w:eastAsia="Arial" w:hAnsi="Arial"/>
          <w:sz w:val="18"/>
          <w:szCs w:val="18"/>
          <w:b w:val="1"/>
          <w:bCs w:val="1"/>
          <w:i w:val="1"/>
          <w:iCs w:val="1"/>
          <w:color w:val="auto"/>
        </w:rPr>
      </w:pPr>
    </w:p>
    <w:p>
      <w:pPr>
        <w:ind w:left="660" w:right="120" w:hanging="328"/>
        <w:spacing w:after="0" w:line="261" w:lineRule="auto"/>
        <w:tabs>
          <w:tab w:leader="none" w:pos="669"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Adjusted diluted EPS from continuing operations (a non-GAAP measure) increased 31.4% to $3.43 for 2022, compared to $2.61 for 2021</w:t>
      </w:r>
    </w:p>
    <w:p>
      <w:pPr>
        <w:spacing w:after="0" w:line="89"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Returned $121.3 million to shareholders by repurchasing 2.0 million shares of our common stock in 2022</w:t>
      </w:r>
    </w:p>
    <w:p>
      <w:pPr>
        <w:spacing w:after="0" w:line="117" w:lineRule="exact"/>
        <w:rPr>
          <w:rFonts w:ascii="Arial" w:cs="Arial" w:eastAsia="Arial" w:hAnsi="Arial"/>
          <w:sz w:val="18"/>
          <w:szCs w:val="18"/>
          <w:b w:val="1"/>
          <w:bCs w:val="1"/>
          <w:i w:val="1"/>
          <w:iCs w:val="1"/>
          <w:color w:val="auto"/>
        </w:rPr>
      </w:pPr>
    </w:p>
    <w:p>
      <w:pPr>
        <w:ind w:left="660" w:right="20" w:hanging="328"/>
        <w:spacing w:after="0" w:line="261" w:lineRule="auto"/>
        <w:tabs>
          <w:tab w:leader="none" w:pos="669"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Refinanced our $600 million credit facility; including extending the maturity date to 2027 and transitioning to SOFR, while maintaining favorable pricing and flexibility</w:t>
      </w:r>
    </w:p>
    <w:p>
      <w:pPr>
        <w:spacing w:after="0" w:line="89"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Completed the acquisitions of AIMDATA, LLC and Customer Evolution, LLC in January 2022 and December 2022, respectively</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Total revenues increased $226.8 million, or 25.0%, to $1.13 billion for the year ended December 31, 2022 from $905.6 million for the year ended December 31, 2021. The increase in total revenues reflects continued strength in demand for our Digital capability services across all our segments as companies continue to invest in cloud-based technology and analytic solutions, as well as strengthened demand for our Consulting and Managed Services offerings within our Education and Healthcare segments.</w:t>
      </w:r>
    </w:p>
    <w:p>
      <w:pPr>
        <w:spacing w:after="0" w:line="150"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In our Consulting and Managed Services capability, revenues for the year ended December 31, 2022 increased 14.8% to $638.0 million, compared to $555.9 million the year ended December 31, 2021, and reflected strengthened demand in our Education and Healthcare segments. The utilization rate within our Consulting capability increased to 75.2% in 2022, compared to 70.6% in 2021.</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Revenues within our Digital capability increased 41.4% to $494.5 million for the year ended December 31, 2022, compared to $349.7 million for the year ended December 31, 2021, and reflected strengthened demand in all of our segments. The utilization rate within our Digital capability decreased to 71.0% in 2022, compared to 72.5% in 2021.</w:t>
      </w:r>
    </w:p>
    <w:p>
      <w:pPr>
        <w:spacing w:after="0" w:line="14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total number of revenue-generating professionals increased to 4,832 as of December 31, 2022, compared to 3,776 as of December 31, 2021, as a result of hiring to support the overall increase in demand for our services within all of our segments. We proactively plan and manage the size and composition of our workforce and take actions as needed to address changes in the anticipated demand for our services as compensation costs are the most significant portion of our operating expenses.</w:t>
      </w:r>
    </w:p>
    <w:p>
      <w:pPr>
        <w:spacing w:after="0" w:line="15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Operating margin, which is defined as operating income expressed as a percentage of revenues, increased to 8.8% for the year ended December 31, 2022, compared to 5.8% for the year ended December 31, 2021, driven by strong revenue growth that outpaced increases in operating expenses.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Net income from continuing operations increased $12.6 million, or 19.9%, to $75.6 million for the year ended December 31, 2022 from $63.0 million for the year ended December 31, 2021. As a result of the increase in net income from continuing operations, diluted earnings per share from continuing operations increased 26.0% to $3.64 for 2022 from $2.89 for 2021. Adjusted diluted earnings per share from continuing operations increased 31.4% to $3.43 for 2022 from $2.61 for 2021.</w:t>
      </w:r>
    </w:p>
    <w:p>
      <w:pPr>
        <w:spacing w:after="0" w:line="15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2022, we repurchased 2.0 million shares of our common stock for $121.3 million, representing 9.3% of our common stock outstanding as of December 31, 2021.</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November 15, 2022, we entered into an amended and restated credit agreement that, among other items, extends the maturity date of our credit facility from September 27, 2024 to November 15, 2027; maintains the aggregate revolving commitments of $600 million; maintains favorable pricing and flexibility to support our balanced approach to capital deployment; and provides flexibility to add pricing adjustments tied to the achievement of ESG key performance indicators.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During 2022, we completed the following acquisitions:</w:t>
      </w:r>
    </w:p>
    <w:p>
      <w:pPr>
        <w:spacing w:after="0" w:line="153" w:lineRule="exact"/>
        <w:rPr>
          <w:sz w:val="20"/>
          <w:szCs w:val="20"/>
          <w:color w:val="auto"/>
        </w:rPr>
      </w:pPr>
    </w:p>
    <w:p>
      <w:pPr>
        <w:ind w:left="660" w:right="260" w:hanging="328"/>
        <w:spacing w:after="0" w:line="261"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AIMDATA, LLC </w:t>
      </w:r>
      <w:r>
        <w:rPr>
          <w:rFonts w:ascii="Arial" w:cs="Arial" w:eastAsia="Arial" w:hAnsi="Arial"/>
          <w:sz w:val="18"/>
          <w:szCs w:val="18"/>
          <w:color w:val="auto"/>
        </w:rPr>
        <w:t>- On January 18, 2022, we completed the acquisition of AIMDATA, LLC ("AIMDATA"), an advisory and</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consulting services firm focused on strategy, technology and business transformation. The results of operations of AIMDATA are included within our consolidated financial statements as of the acquisition date and allocated among our three operating industries, which are our reportable segments, based on the engagements delivered by the business.</w:t>
      </w:r>
    </w:p>
    <w:p>
      <w:pPr>
        <w:spacing w:after="0" w:line="125" w:lineRule="exact"/>
        <w:rPr>
          <w:rFonts w:ascii="Arial" w:cs="Arial" w:eastAsia="Arial" w:hAnsi="Arial"/>
          <w:sz w:val="18"/>
          <w:szCs w:val="18"/>
          <w:color w:val="auto"/>
        </w:rPr>
      </w:pPr>
    </w:p>
    <w:p>
      <w:pPr>
        <w:ind w:left="660" w:right="100" w:hanging="328"/>
        <w:spacing w:after="0" w:line="261"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Customer Evolution, LLC - </w:t>
      </w:r>
      <w:r>
        <w:rPr>
          <w:rFonts w:ascii="Arial" w:cs="Arial" w:eastAsia="Arial" w:hAnsi="Arial"/>
          <w:sz w:val="18"/>
          <w:szCs w:val="18"/>
          <w:color w:val="auto"/>
        </w:rPr>
        <w:t>Effective December 31, 2022, we completed the acquisition of Customer Evolution, LLC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Evolution"), a healthcare advisory and technology implementation consulting services firm. The results of operations of Customer Evolution are included in our consolidated financial statements and results of operations of our Healthcare segment from the date of acquisition.</w:t>
      </w:r>
    </w:p>
    <w:p>
      <w:pPr>
        <w:spacing w:after="0" w:line="144"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acquisitions of AIMDATA and Customer Evolution are not significant to our consolidated financial statements individually or in the aggregate as of and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193"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The new operating model strengthens Huron’s go-to-market strategy, drives efficiencies that support margin expansion, and positions the company to accelerate growth.</w:t>
      </w:r>
    </w:p>
    <w:p>
      <w:pPr>
        <w:spacing w:after="0" w:line="14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 energy and utilities. In the new 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 We also provide revenue reporting across two principal capabilities: i) Consulting and Managed Services and ii) Digital. These changes improve visibility into the core drivers of our business. While our consolidated results have not been impacted, our historical segment information has been recast for consistent presentation.</w:t>
      </w:r>
    </w:p>
    <w:p>
      <w:pPr>
        <w:spacing w:after="0" w:line="15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following table sets forth, for the periods indicated, selected segment and consolidated operating results and other operating data, including non-GAAP measures. The results of operations for acquired businesses have been included in our results of operations since the date of their respective acquisition.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8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 and Consolidated Operating Results</w:t>
            </w:r>
          </w:p>
        </w:tc>
        <w:tc>
          <w:tcPr>
            <w:tcW w:w="2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80" w:type="dxa"/>
            <w:vAlign w:val="bottom"/>
            <w:gridSpan w:val="2"/>
          </w:tcPr>
          <w:p>
            <w:pPr>
              <w:ind w:left="20"/>
              <w:spacing w:after="0"/>
              <w:rPr>
                <w:sz w:val="20"/>
                <w:szCs w:val="20"/>
                <w:color w:val="auto"/>
              </w:rPr>
            </w:pPr>
            <w:r>
              <w:rPr>
                <w:rFonts w:ascii="Arial" w:cs="Arial" w:eastAsia="Arial" w:hAnsi="Arial"/>
                <w:sz w:val="18"/>
                <w:szCs w:val="18"/>
                <w:b w:val="1"/>
                <w:bCs w:val="1"/>
                <w:color w:val="auto"/>
              </w:rPr>
              <w:t>(in thousands, except per share amounts):</w:t>
            </w: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534,999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444,767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406,536</w:t>
            </w: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131,227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118,324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105,650</w:t>
            </w:r>
          </w:p>
        </w:tc>
        <w:tc>
          <w:tcPr>
            <w:tcW w:w="0" w:type="dxa"/>
            <w:vAlign w:val="bottom"/>
          </w:tcPr>
          <w:p>
            <w:pPr>
              <w:spacing w:after="0"/>
              <w:rPr>
                <w:sz w:val="1"/>
                <w:szCs w:val="1"/>
                <w:color w:val="auto"/>
              </w:rPr>
            </w:pP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26.0 %</w:t>
            </w: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359,835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242,374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223,325</w:t>
            </w: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78,924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52,398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45,780</w:t>
            </w:r>
          </w:p>
        </w:tc>
        <w:tc>
          <w:tcPr>
            <w:tcW w:w="0" w:type="dxa"/>
            <w:vAlign w:val="bottom"/>
          </w:tcPr>
          <w:p>
            <w:pPr>
              <w:spacing w:after="0"/>
              <w:rPr>
                <w:sz w:val="1"/>
                <w:szCs w:val="1"/>
                <w:color w:val="auto"/>
              </w:rPr>
            </w:pPr>
          </w:p>
        </w:tc>
      </w:tr>
      <w:tr>
        <w:trPr>
          <w:trHeight w:val="229"/>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237,621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218,499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214,266</w:t>
            </w: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50,025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34,296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39,044</w:t>
            </w:r>
          </w:p>
        </w:tc>
        <w:tc>
          <w:tcPr>
            <w:tcW w:w="0" w:type="dxa"/>
            <w:vAlign w:val="bottom"/>
          </w:tcPr>
          <w:p>
            <w:pPr>
              <w:spacing w:after="0"/>
              <w:rPr>
                <w:sz w:val="1"/>
                <w:szCs w:val="1"/>
                <w:color w:val="auto"/>
              </w:rPr>
            </w:pPr>
          </w:p>
        </w:tc>
      </w:tr>
      <w:tr>
        <w:trPr>
          <w:trHeight w:val="229"/>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1,132,455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905,640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844,127</w:t>
            </w: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26,506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21,318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26,887</w:t>
            </w:r>
          </w:p>
        </w:tc>
        <w:tc>
          <w:tcPr>
            <w:tcW w:w="0" w:type="dxa"/>
            <w:vAlign w:val="bottom"/>
          </w:tcPr>
          <w:p>
            <w:pPr>
              <w:spacing w:after="0"/>
              <w:rPr>
                <w:sz w:val="1"/>
                <w:szCs w:val="1"/>
                <w:color w:val="auto"/>
              </w:rPr>
            </w:pPr>
          </w:p>
        </w:tc>
      </w:tr>
      <w:tr>
        <w:trPr>
          <w:trHeight w:val="223"/>
        </w:trPr>
        <w:tc>
          <w:tcPr>
            <w:tcW w:w="67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revenues and reimbursable expenses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1,158,961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926,958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871,014</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Segment operating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260,176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205,018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190,474</w:t>
            </w: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36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140,145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131,545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135,105</w:t>
            </w: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20,271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20,634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24,405</w:t>
            </w:r>
          </w:p>
        </w:tc>
        <w:tc>
          <w:tcPr>
            <w:tcW w:w="0" w:type="dxa"/>
            <w:vAlign w:val="bottom"/>
          </w:tcPr>
          <w:p>
            <w:pPr>
              <w:spacing w:after="0"/>
              <w:rPr>
                <w:sz w:val="1"/>
                <w:szCs w:val="1"/>
                <w:color w:val="auto"/>
              </w:rPr>
            </w:pPr>
          </w:p>
        </w:tc>
      </w:tr>
      <w:tr>
        <w:trPr>
          <w:trHeight w:val="230"/>
        </w:trPr>
        <w:tc>
          <w:tcPr>
            <w:tcW w:w="6780" w:type="dxa"/>
            <w:vAlign w:val="bottom"/>
            <w:gridSpan w:val="2"/>
          </w:tcPr>
          <w:p>
            <w:pPr>
              <w:ind w:left="360"/>
              <w:spacing w:after="0" w:line="230" w:lineRule="exact"/>
              <w:rPr>
                <w:sz w:val="20"/>
                <w:szCs w:val="20"/>
                <w:color w:val="auto"/>
              </w:rPr>
            </w:pPr>
            <w:r>
              <w:rPr>
                <w:rFonts w:ascii="Arial" w:cs="Arial" w:eastAsia="Arial" w:hAnsi="Arial"/>
                <w:sz w:val="18"/>
                <w:szCs w:val="18"/>
                <w:color w:val="auto"/>
              </w:rPr>
              <w:t xml:space="preserve">Goodwill impairment charges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59,816</w:t>
            </w:r>
          </w:p>
        </w:tc>
        <w:tc>
          <w:tcPr>
            <w:tcW w:w="0" w:type="dxa"/>
            <w:vAlign w:val="bottom"/>
          </w:tcPr>
          <w:p>
            <w:pPr>
              <w:spacing w:after="0"/>
              <w:rPr>
                <w:sz w:val="1"/>
                <w:szCs w:val="1"/>
                <w:color w:val="auto"/>
              </w:rPr>
            </w:pPr>
          </w:p>
        </w:tc>
      </w:tr>
      <w:tr>
        <w:trPr>
          <w:trHeight w:val="223"/>
        </w:trPr>
        <w:tc>
          <w:tcPr>
            <w:tcW w:w="6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99,760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52,839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(28,852)</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8,817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27,197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23"/>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taxes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108,577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80,036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(33,873)</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33,025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17,049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(10,155)</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75,552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62,987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(23,718)</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Earnings (loss) per share from continuing operations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678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right="2520"/>
        <w:spacing w:after="0" w:line="265" w:lineRule="auto"/>
        <w:rPr>
          <w:sz w:val="20"/>
          <w:szCs w:val="20"/>
          <w:color w:val="auto"/>
        </w:rPr>
      </w:pPr>
      <w:r>
        <w:rPr>
          <w:rFonts w:ascii="Arial" w:cs="Arial" w:eastAsia="Arial" w:hAnsi="Arial"/>
          <w:sz w:val="17"/>
          <w:szCs w:val="17"/>
          <w:b w:val="1"/>
          <w:bCs w:val="1"/>
          <w:color w:val="auto"/>
        </w:rPr>
        <w:t>Segment and Consolidated Operating Results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Other Operating Data:</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Number of revenue-generating professionals by segment (at period end) </w:t>
      </w:r>
      <w:r>
        <w:rPr>
          <w:rFonts w:ascii="Arial" w:cs="Arial" w:eastAsia="Arial" w:hAnsi="Arial"/>
          <w:sz w:val="22"/>
          <w:szCs w:val="22"/>
          <w:b w:val="1"/>
          <w:bCs w:val="1"/>
          <w:color w:val="auto"/>
          <w:vertAlign w:val="superscript"/>
        </w:rPr>
        <w:t>(6)</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Healthcare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line="228" w:lineRule="auto"/>
        <w:rPr>
          <w:sz w:val="20"/>
          <w:szCs w:val="20"/>
          <w:color w:val="auto"/>
        </w:rPr>
      </w:pPr>
      <w:r>
        <w:rPr>
          <w:rFonts w:ascii="Arial" w:cs="Arial" w:eastAsia="Arial" w:hAnsi="Arial"/>
          <w:sz w:val="18"/>
          <w:szCs w:val="18"/>
          <w:color w:val="auto"/>
        </w:rPr>
        <w:t xml:space="preserve">Commercial </w:t>
      </w:r>
      <w:r>
        <w:rPr>
          <w:rFonts w:ascii="Arial" w:cs="Arial" w:eastAsia="Arial" w:hAnsi="Arial"/>
          <w:sz w:val="23"/>
          <w:szCs w:val="23"/>
          <w:color w:val="auto"/>
          <w:vertAlign w:val="superscript"/>
        </w:rPr>
        <w:t>(2)</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26060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0" w:lineRule="exact"/>
        <w:rPr>
          <w:sz w:val="20"/>
          <w:szCs w:val="20"/>
          <w:color w:val="auto"/>
        </w:rPr>
      </w:pPr>
    </w:p>
    <w:p>
      <w:pPr>
        <w:ind w:left="440"/>
        <w:spacing w:after="0"/>
        <w:tabs>
          <w:tab w:leader="none" w:pos="1800" w:val="left"/>
          <w:tab w:leader="none" w:pos="324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r>
        <w:rPr>
          <w:sz w:val="20"/>
          <w:szCs w:val="20"/>
          <w:color w:val="auto"/>
        </w:rPr>
        <w:tab/>
      </w:r>
      <w:r>
        <w:rPr>
          <w:rFonts w:ascii="Arial" w:cs="Arial" w:eastAsia="Arial" w:hAnsi="Arial"/>
          <w:sz w:val="17"/>
          <w:szCs w:val="17"/>
          <w:b w:val="1"/>
          <w:bCs w:val="1"/>
          <w:color w:val="auto"/>
        </w:rPr>
        <w:t>2020</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80" w:type="dxa"/>
            <w:vAlign w:val="bottom"/>
          </w:tcPr>
          <w:p>
            <w:pPr>
              <w:jc w:val="right"/>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1,596</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1,117</w:t>
            </w:r>
          </w:p>
        </w:tc>
      </w:tr>
      <w:tr>
        <w:trPr>
          <w:trHeight w:val="229"/>
        </w:trPr>
        <w:tc>
          <w:tcPr>
            <w:tcW w:w="128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1,050</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873</w:t>
            </w:r>
          </w:p>
        </w:tc>
      </w:tr>
      <w:tr>
        <w:trPr>
          <w:trHeight w:val="229"/>
        </w:trPr>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16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r>
      <w:tr>
        <w:trPr>
          <w:trHeight w:val="223"/>
        </w:trPr>
        <w:tc>
          <w:tcPr>
            <w:tcW w:w="1280" w:type="dxa"/>
            <w:vAlign w:val="bottom"/>
          </w:tcPr>
          <w:p>
            <w:pPr>
              <w:jc w:val="right"/>
              <w:spacing w:after="0"/>
              <w:rPr>
                <w:sz w:val="20"/>
                <w:szCs w:val="20"/>
                <w:color w:val="auto"/>
              </w:rPr>
            </w:pPr>
            <w:r>
              <w:rPr>
                <w:rFonts w:ascii="Arial" w:cs="Arial" w:eastAsia="Arial" w:hAnsi="Arial"/>
                <w:sz w:val="18"/>
                <w:szCs w:val="18"/>
                <w:color w:val="auto"/>
              </w:rPr>
              <w:t>4,832</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3,776</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3,049</w:t>
            </w:r>
          </w:p>
        </w:tc>
      </w:tr>
    </w:tbl>
    <w:p>
      <w:pPr>
        <w:spacing w:after="0" w:line="20" w:lineRule="exact"/>
        <w:rPr>
          <w:sz w:val="20"/>
          <w:szCs w:val="20"/>
          <w:color w:val="auto"/>
        </w:rPr>
      </w:pPr>
    </w:p>
    <w:p>
      <w:pPr>
        <w:sectPr>
          <w:pgSz w:w="11900" w:h="16838" w:orient="portrait"/>
          <w:cols w:equalWidth="0" w:num="2">
            <w:col w:w="6460" w:space="680"/>
            <w:col w:w="410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7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Revenue by capability:</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1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Consulting and Managed Services </w:t>
            </w:r>
            <w:r>
              <w:rPr>
                <w:rFonts w:ascii="Arial" w:cs="Arial" w:eastAsia="Arial" w:hAnsi="Arial"/>
                <w:sz w:val="23"/>
                <w:szCs w:val="23"/>
                <w:color w:val="auto"/>
                <w:vertAlign w:val="superscript"/>
              </w:rPr>
              <w:t>(3)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555,915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514,086</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Digital</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494,461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349,725</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330,041</w:t>
            </w:r>
          </w:p>
        </w:tc>
      </w:tr>
      <w:tr>
        <w:trPr>
          <w:trHeight w:val="223"/>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905,640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844,127</w:t>
            </w:r>
          </w:p>
        </w:tc>
      </w:tr>
      <w:tr>
        <w:trPr>
          <w:trHeight w:val="257"/>
        </w:trPr>
        <w:tc>
          <w:tcPr>
            <w:tcW w:w="7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Number of revenue-generating professionals by capability (at period end):</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1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Consulting and Managed Services </w:t>
            </w:r>
            <w:r>
              <w:rPr>
                <w:rFonts w:ascii="Arial" w:cs="Arial" w:eastAsia="Arial" w:hAnsi="Arial"/>
                <w:sz w:val="23"/>
                <w:szCs w:val="23"/>
                <w:color w:val="auto"/>
                <w:vertAlign w:val="superscript"/>
              </w:rPr>
              <w:t>(4)</w:t>
            </w:r>
          </w:p>
        </w:tc>
        <w:tc>
          <w:tcPr>
            <w:tcW w:w="2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1,838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1,362</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1,938</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1,687</w:t>
            </w:r>
          </w:p>
        </w:tc>
      </w:tr>
      <w:tr>
        <w:trPr>
          <w:trHeight w:val="223"/>
        </w:trPr>
        <w:tc>
          <w:tcPr>
            <w:tcW w:w="7140" w:type="dxa"/>
            <w:vAlign w:val="bottom"/>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3,776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3,049</w:t>
            </w:r>
          </w:p>
        </w:tc>
      </w:tr>
      <w:tr>
        <w:trPr>
          <w:trHeight w:val="257"/>
        </w:trPr>
        <w:tc>
          <w:tcPr>
            <w:tcW w:w="7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29"/>
        </w:trPr>
        <w:tc>
          <w:tcPr>
            <w:tcW w:w="714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Utilization rate by capability </w:t>
            </w:r>
            <w:r>
              <w:rPr>
                <w:rFonts w:ascii="Arial" w:cs="Arial" w:eastAsia="Arial" w:hAnsi="Arial"/>
                <w:sz w:val="23"/>
                <w:szCs w:val="23"/>
                <w:b w:val="1"/>
                <w:bCs w:val="1"/>
                <w:color w:val="auto"/>
                <w:vertAlign w:val="superscript"/>
              </w:rPr>
              <w:t>(5)</w:t>
            </w: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Consulting</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67.6%</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Digital</w:t>
            </w:r>
          </w:p>
        </w:tc>
        <w:tc>
          <w:tcPr>
            <w:tcW w:w="2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72.5%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74.3%</w:t>
            </w:r>
          </w:p>
        </w:tc>
      </w:tr>
    </w:tbl>
    <w:p>
      <w:pPr>
        <w:spacing w:after="0" w:line="161" w:lineRule="exact"/>
        <w:rPr>
          <w:sz w:val="20"/>
          <w:szCs w:val="20"/>
          <w:color w:val="auto"/>
        </w:rPr>
      </w:pPr>
    </w:p>
    <w:p>
      <w:pPr>
        <w:ind w:left="340" w:right="160" w:hanging="332"/>
        <w:spacing w:after="0" w:line="256" w:lineRule="auto"/>
        <w:tabs>
          <w:tab w:leader="none" w:pos="3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non-cash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66" w:lineRule="exact"/>
        <w:rPr>
          <w:rFonts w:ascii="Arial" w:cs="Arial" w:eastAsia="Arial" w:hAnsi="Arial"/>
          <w:sz w:val="18"/>
          <w:szCs w:val="18"/>
          <w:color w:val="auto"/>
        </w:rPr>
      </w:pPr>
    </w:p>
    <w:p>
      <w:pPr>
        <w:ind w:left="340" w:right="200" w:hanging="332"/>
        <w:spacing w:after="0" w:line="261" w:lineRule="auto"/>
        <w:tabs>
          <w:tab w:leader="none" w:pos="3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majority of our revenue-generating professionals within our Commercial segment can provide services across all of our industries, including healthcare and education.</w:t>
      </w:r>
    </w:p>
    <w:p>
      <w:pPr>
        <w:spacing w:after="0" w:line="35" w:lineRule="exact"/>
        <w:rPr>
          <w:rFonts w:ascii="Arial" w:cs="Arial" w:eastAsia="Arial" w:hAnsi="Arial"/>
          <w:sz w:val="18"/>
          <w:szCs w:val="18"/>
          <w:color w:val="auto"/>
        </w:rPr>
      </w:pPr>
    </w:p>
    <w:p>
      <w:pPr>
        <w:ind w:left="340" w:right="320" w:hanging="332"/>
        <w:spacing w:after="0" w:line="261" w:lineRule="auto"/>
        <w:tabs>
          <w:tab w:leader="none" w:pos="3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Managed Services capability revenues within our Healthcare segment was $67.6 million, $47.7 million and $28.7 million for the years ended 2022, 2021 and 2020, respectively.</w:t>
      </w:r>
    </w:p>
    <w:p>
      <w:pPr>
        <w:spacing w:after="0" w:line="36" w:lineRule="exact"/>
        <w:rPr>
          <w:sz w:val="20"/>
          <w:szCs w:val="20"/>
          <w:color w:val="auto"/>
        </w:rPr>
      </w:pPr>
    </w:p>
    <w:p>
      <w:pPr>
        <w:ind w:left="340" w:right="60"/>
        <w:spacing w:after="0" w:line="261" w:lineRule="auto"/>
        <w:rPr>
          <w:sz w:val="20"/>
          <w:szCs w:val="20"/>
          <w:color w:val="auto"/>
        </w:rPr>
      </w:pPr>
      <w:r>
        <w:rPr>
          <w:rFonts w:ascii="Arial" w:cs="Arial" w:eastAsia="Arial" w:hAnsi="Arial"/>
          <w:sz w:val="18"/>
          <w:szCs w:val="18"/>
          <w:color w:val="auto"/>
        </w:rPr>
        <w:t>Managed Services capability revenues within our Education segment was $15.7 million, $9.1 million and $6.8 million for the years ended 2022, 2021 and 2020, respectively.</w:t>
      </w:r>
    </w:p>
    <w:p>
      <w:pPr>
        <w:spacing w:after="0" w:line="36" w:lineRule="exact"/>
        <w:rPr>
          <w:sz w:val="20"/>
          <w:szCs w:val="20"/>
          <w:color w:val="auto"/>
        </w:rPr>
      </w:pPr>
    </w:p>
    <w:p>
      <w:pPr>
        <w:ind w:left="340" w:right="40" w:hanging="332"/>
        <w:spacing w:after="0" w:line="261" w:lineRule="auto"/>
        <w:tabs>
          <w:tab w:leader="none" w:pos="3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Managed Services revenue-generating professionals within our Healthcare segment as of December 31, 2022, 2021 and 2020, was 715, 509, and 96, respectively.</w:t>
      </w:r>
    </w:p>
    <w:p>
      <w:pPr>
        <w:spacing w:after="0" w:line="36" w:lineRule="exact"/>
        <w:rPr>
          <w:sz w:val="20"/>
          <w:szCs w:val="20"/>
          <w:color w:val="auto"/>
        </w:rPr>
      </w:pPr>
    </w:p>
    <w:p>
      <w:pPr>
        <w:ind w:left="340" w:right="140"/>
        <w:spacing w:after="0" w:line="261" w:lineRule="auto"/>
        <w:rPr>
          <w:sz w:val="20"/>
          <w:szCs w:val="20"/>
          <w:color w:val="auto"/>
        </w:rPr>
      </w:pPr>
      <w:r>
        <w:rPr>
          <w:rFonts w:ascii="Arial" w:cs="Arial" w:eastAsia="Arial" w:hAnsi="Arial"/>
          <w:sz w:val="18"/>
          <w:szCs w:val="18"/>
          <w:color w:val="auto"/>
        </w:rPr>
        <w:t>The number of Managed Services revenue-generating professionals within our Education segment as of December 31, 2022, 2021 and 2020, was 106, 72, and 49, respectively.</w:t>
      </w:r>
    </w:p>
    <w:p>
      <w:pPr>
        <w:spacing w:after="0" w:line="36" w:lineRule="exact"/>
        <w:rPr>
          <w:sz w:val="20"/>
          <w:szCs w:val="20"/>
          <w:color w:val="auto"/>
        </w:rPr>
      </w:pPr>
    </w:p>
    <w:p>
      <w:pPr>
        <w:ind w:left="340" w:right="420" w:hanging="332"/>
        <w:spacing w:after="0" w:line="256" w:lineRule="auto"/>
        <w:tabs>
          <w:tab w:leader="none" w:pos="371" w:val="left"/>
        </w:tabs>
        <w:numPr>
          <w:ilvl w:val="0"/>
          <w:numId w:val="19"/>
        </w:numPr>
        <w:rPr>
          <w:rFonts w:ascii="Arial" w:cs="Arial" w:eastAsia="Arial" w:hAnsi="Arial"/>
          <w:sz w:val="18"/>
          <w:szCs w:val="18"/>
          <w:color w:val="auto"/>
        </w:rPr>
      </w:pPr>
      <w:r>
        <w:rPr>
          <w:rFonts w:ascii="Arial" w:cs="Arial" w:eastAsia="Arial" w:hAnsi="Arial"/>
          <w:sz w:val="18"/>
          <w:szCs w:val="18"/>
          <w:color w:val="auto"/>
        </w:rPr>
        <w:t>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pacing w:after="0" w:line="39" w:lineRule="exact"/>
        <w:rPr>
          <w:rFonts w:ascii="Arial" w:cs="Arial" w:eastAsia="Arial" w:hAnsi="Arial"/>
          <w:sz w:val="18"/>
          <w:szCs w:val="18"/>
          <w:color w:val="auto"/>
        </w:rPr>
      </w:pPr>
    </w:p>
    <w:p>
      <w:pPr>
        <w:ind w:left="340" w:right="240" w:hanging="332"/>
        <w:spacing w:after="0" w:line="254" w:lineRule="auto"/>
        <w:tabs>
          <w:tab w:leader="none" w:pos="371"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first quarter of 2022, we reclassified certain Digital revenue-generating professionals within our Healthcare and Education segments to our Commercial segment as these professionals can provide services across all of our industries. This reclassification did not impact the total headcount within our Digital capability for any period. The prior period headcount has been revised for consistent presentation.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50"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1,132,455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905,640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844,127</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vMerge w:val="continue"/>
          </w:tcPr>
          <w:p>
            <w:pPr>
              <w:spacing w:after="0"/>
              <w:rPr>
                <w:sz w:val="17"/>
                <w:szCs w:val="17"/>
                <w:color w:val="auto"/>
              </w:rPr>
            </w:pP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75,552</w:t>
            </w:r>
          </w:p>
        </w:tc>
        <w:tc>
          <w:tcPr>
            <w:tcW w:w="120" w:type="dxa"/>
            <w:vAlign w:val="bottom"/>
          </w:tcPr>
          <w:p>
            <w:pPr>
              <w:spacing w:after="0"/>
              <w:rPr>
                <w:sz w:val="17"/>
                <w:szCs w:val="17"/>
                <w:color w:val="auto"/>
              </w:rPr>
            </w:pPr>
          </w:p>
        </w:tc>
        <w:tc>
          <w:tcPr>
            <w:tcW w:w="38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62,987</w:t>
            </w:r>
          </w:p>
        </w:tc>
        <w:tc>
          <w:tcPr>
            <w:tcW w:w="120" w:type="dxa"/>
            <w:vAlign w:val="bottom"/>
          </w:tcPr>
          <w:p>
            <w:pPr>
              <w:spacing w:after="0"/>
              <w:rPr>
                <w:sz w:val="17"/>
                <w:szCs w:val="17"/>
                <w:color w:val="auto"/>
              </w:rPr>
            </w:pPr>
          </w:p>
        </w:tc>
        <w:tc>
          <w:tcPr>
            <w:tcW w:w="38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(23,718)</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back:</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360"/>
              <w:spacing w:after="0"/>
              <w:rPr>
                <w:sz w:val="20"/>
                <w:szCs w:val="20"/>
                <w:color w:val="auto"/>
              </w:rPr>
            </w:pPr>
            <w:r>
              <w:rPr>
                <w:rFonts w:ascii="Arial" w:cs="Arial" w:eastAsia="Arial" w:hAnsi="Arial"/>
                <w:sz w:val="18"/>
                <w:szCs w:val="18"/>
                <w:color w:val="auto"/>
              </w:rPr>
              <w:t>Income tax expense (benefit)</w:t>
            </w:r>
          </w:p>
        </w:tc>
        <w:tc>
          <w:tcPr>
            <w:tcW w:w="4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33,025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17,049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(10,155)</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 of interest income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11,883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9,292</w:t>
            </w:r>
          </w:p>
        </w:tc>
        <w:tc>
          <w:tcPr>
            <w:tcW w:w="0" w:type="dxa"/>
            <w:vAlign w:val="bottom"/>
          </w:tcPr>
          <w:p>
            <w:pPr>
              <w:spacing w:after="0"/>
              <w:rPr>
                <w:sz w:val="1"/>
                <w:szCs w:val="1"/>
                <w:color w:val="auto"/>
              </w:rPr>
            </w:pPr>
          </w:p>
        </w:tc>
      </w:tr>
      <w:tr>
        <w:trPr>
          <w:trHeight w:val="229"/>
        </w:trPr>
        <w:tc>
          <w:tcPr>
            <w:tcW w:w="5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28,233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26,347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29,644</w:t>
            </w:r>
          </w:p>
        </w:tc>
        <w:tc>
          <w:tcPr>
            <w:tcW w:w="0" w:type="dxa"/>
            <w:vAlign w:val="bottom"/>
          </w:tcPr>
          <w:p>
            <w:pPr>
              <w:spacing w:after="0"/>
              <w:rPr>
                <w:sz w:val="1"/>
                <w:szCs w:val="1"/>
                <w:color w:val="auto"/>
              </w:rPr>
            </w:pPr>
          </w:p>
        </w:tc>
      </w:tr>
      <w:tr>
        <w:trPr>
          <w:trHeight w:val="169"/>
        </w:trPr>
        <w:tc>
          <w:tcPr>
            <w:tcW w:w="58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Earnings before interest, taxes, depreciation and amortization</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50"/>
              <w:spacing w:after="0" w:line="169" w:lineRule="exact"/>
              <w:rPr>
                <w:sz w:val="20"/>
                <w:szCs w:val="20"/>
                <w:color w:val="auto"/>
              </w:rPr>
            </w:pPr>
            <w:r>
              <w:rPr>
                <w:rFonts w:ascii="Arial" w:cs="Arial" w:eastAsia="Arial" w:hAnsi="Arial"/>
                <w:sz w:val="18"/>
                <w:szCs w:val="18"/>
                <w:color w:val="auto"/>
              </w:rPr>
              <w:t>148,693</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30"/>
              <w:spacing w:after="0" w:line="169" w:lineRule="exact"/>
              <w:rPr>
                <w:sz w:val="20"/>
                <w:szCs w:val="20"/>
                <w:color w:val="auto"/>
              </w:rPr>
            </w:pPr>
            <w:r>
              <w:rPr>
                <w:rFonts w:ascii="Arial" w:cs="Arial" w:eastAsia="Arial" w:hAnsi="Arial"/>
                <w:sz w:val="18"/>
                <w:szCs w:val="18"/>
                <w:color w:val="auto"/>
              </w:rPr>
              <w:t>114,533</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50"/>
              <w:spacing w:after="0" w:line="169" w:lineRule="exact"/>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Add back:</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9,909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21,374</w:t>
            </w:r>
          </w:p>
        </w:tc>
        <w:tc>
          <w:tcPr>
            <w:tcW w:w="0" w:type="dxa"/>
            <w:vAlign w:val="bottom"/>
          </w:tcPr>
          <w:p>
            <w:pPr>
              <w:spacing w:after="0"/>
              <w:rPr>
                <w:sz w:val="1"/>
                <w:szCs w:val="1"/>
                <w:color w:val="auto"/>
              </w:rPr>
            </w:pPr>
          </w:p>
        </w:tc>
      </w:tr>
      <w:tr>
        <w:trPr>
          <w:trHeight w:val="230"/>
        </w:trPr>
        <w:tc>
          <w:tcPr>
            <w:tcW w:w="5800" w:type="dxa"/>
            <w:vAlign w:val="bottom"/>
          </w:tcPr>
          <w:p>
            <w:pPr>
              <w:ind w:left="360"/>
              <w:spacing w:after="0"/>
              <w:rPr>
                <w:sz w:val="20"/>
                <w:szCs w:val="20"/>
                <w:color w:val="auto"/>
              </w:rPr>
            </w:pPr>
            <w:r>
              <w:rPr>
                <w:rFonts w:ascii="Arial" w:cs="Arial" w:eastAsia="Arial" w:hAnsi="Arial"/>
                <w:sz w:val="18"/>
                <w:szCs w:val="18"/>
                <w:color w:val="auto"/>
              </w:rPr>
              <w:t>Other losses (gains)</w:t>
            </w:r>
          </w:p>
        </w:tc>
        <w:tc>
          <w:tcPr>
            <w:tcW w:w="4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Transaction-related expenses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1,782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30"/>
        </w:trPr>
        <w:tc>
          <w:tcPr>
            <w:tcW w:w="5800" w:type="dxa"/>
            <w:vAlign w:val="bottom"/>
          </w:tcPr>
          <w:p>
            <w:pPr>
              <w:ind w:left="360"/>
              <w:spacing w:after="0"/>
              <w:rPr>
                <w:sz w:val="20"/>
                <w:szCs w:val="20"/>
                <w:color w:val="auto"/>
              </w:rPr>
            </w:pPr>
            <w:r>
              <w:rPr>
                <w:rFonts w:ascii="Arial" w:cs="Arial" w:eastAsia="Arial" w:hAnsi="Arial"/>
                <w:sz w:val="18"/>
                <w:szCs w:val="18"/>
                <w:color w:val="auto"/>
              </w:rPr>
              <w:t>Goodwill impairment charges</w:t>
            </w:r>
          </w:p>
        </w:tc>
        <w:tc>
          <w:tcPr>
            <w:tcW w:w="400" w:type="dxa"/>
            <w:vAlign w:val="bottom"/>
          </w:tcPr>
          <w:p>
            <w:pPr>
              <w:spacing w:after="0"/>
              <w:rPr>
                <w:sz w:val="19"/>
                <w:szCs w:val="19"/>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59,816</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preferred stock investment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(26,964)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29"/>
        </w:trPr>
        <w:tc>
          <w:tcPr>
            <w:tcW w:w="5800" w:type="dxa"/>
            <w:vAlign w:val="bottom"/>
          </w:tcPr>
          <w:p>
            <w:pPr>
              <w:ind w:left="360"/>
              <w:spacing w:after="0"/>
              <w:rPr>
                <w:sz w:val="20"/>
                <w:szCs w:val="20"/>
                <w:color w:val="auto"/>
              </w:rPr>
            </w:pPr>
            <w:r>
              <w:rPr>
                <w:rFonts w:ascii="Arial" w:cs="Arial" w:eastAsia="Arial" w:hAnsi="Arial"/>
                <w:sz w:val="18"/>
                <w:szCs w:val="18"/>
                <w:color w:val="auto"/>
              </w:rPr>
              <w:t>Losses (gains) on sales of businesses</w:t>
            </w:r>
          </w:p>
        </w:tc>
        <w:tc>
          <w:tcPr>
            <w:tcW w:w="400" w:type="dxa"/>
            <w:vAlign w:val="bottom"/>
          </w:tcPr>
          <w:p>
            <w:pPr>
              <w:spacing w:after="0"/>
              <w:rPr>
                <w:sz w:val="19"/>
                <w:szCs w:val="19"/>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(31,510)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losses (gains), net</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130,840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97,823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87,140</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as a percentage of revenues</w:t>
            </w: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from continuing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(23,718)</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shares - 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20,746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21,809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21,882</w:t>
            </w:r>
          </w:p>
        </w:tc>
        <w:tc>
          <w:tcPr>
            <w:tcW w:w="0" w:type="dxa"/>
            <w:vAlign w:val="bottom"/>
          </w:tcPr>
          <w:p>
            <w:pPr>
              <w:spacing w:after="0"/>
              <w:rPr>
                <w:sz w:val="1"/>
                <w:szCs w:val="1"/>
                <w:color w:val="auto"/>
              </w:rPr>
            </w:pPr>
          </w:p>
        </w:tc>
      </w:tr>
      <w:tr>
        <w:trPr>
          <w:trHeight w:val="25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per share from continuing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Add back:</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w:t>
            </w:r>
          </w:p>
        </w:tc>
        <w:tc>
          <w:tcPr>
            <w:tcW w:w="0" w:type="dxa"/>
            <w:vAlign w:val="bottom"/>
          </w:tcPr>
          <w:p>
            <w:pPr>
              <w:spacing w:after="0"/>
              <w:rPr>
                <w:sz w:val="1"/>
                <w:szCs w:val="1"/>
                <w:color w:val="auto"/>
              </w:rPr>
            </w:pP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21,374</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losses (gains)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Transaction-related expenses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impairment charges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59,816</w:t>
            </w:r>
          </w:p>
        </w:tc>
        <w:tc>
          <w:tcPr>
            <w:tcW w:w="0" w:type="dxa"/>
            <w:vAlign w:val="bottom"/>
          </w:tcPr>
          <w:p>
            <w:pPr>
              <w:spacing w:after="0"/>
              <w:rPr>
                <w:sz w:val="1"/>
                <w:szCs w:val="1"/>
                <w:color w:val="auto"/>
              </w:rPr>
            </w:pP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Unrealized gain on preferred stock investment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(26,964)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Losses (gains) on sales of businesses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Tax effect of adjustments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(23,199)</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adjustments, net of tax</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71,605</w:t>
            </w:r>
          </w:p>
        </w:tc>
        <w:tc>
          <w:tcPr>
            <w:tcW w:w="0" w:type="dxa"/>
            <w:vAlign w:val="bottom"/>
          </w:tcPr>
          <w:p>
            <w:pPr>
              <w:spacing w:after="0"/>
              <w:rPr>
                <w:sz w:val="1"/>
                <w:szCs w:val="1"/>
                <w:color w:val="auto"/>
              </w:rPr>
            </w:pP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71,142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56,851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47,887</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weighted average shares - diluted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22,299</w:t>
            </w:r>
          </w:p>
        </w:tc>
        <w:tc>
          <w:tcPr>
            <w:tcW w:w="0" w:type="dxa"/>
            <w:vAlign w:val="bottom"/>
          </w:tcPr>
          <w:p>
            <w:pPr>
              <w:spacing w:after="0"/>
              <w:rPr>
                <w:sz w:val="1"/>
                <w:szCs w:val="1"/>
                <w:color w:val="auto"/>
              </w:rPr>
            </w:pP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2022 Compared to Year Ended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and capability for the years ended December 31, 2022 and 2021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8"/>
              </w:rPr>
              <w:t>Year Ended</w:t>
            </w:r>
          </w:p>
        </w:tc>
        <w:tc>
          <w:tcPr>
            <w:tcW w:w="280" w:type="dxa"/>
            <w:vAlign w:val="bottom"/>
          </w:tcPr>
          <w:p>
            <w:pPr>
              <w:spacing w:after="0"/>
              <w:rPr>
                <w:sz w:val="17"/>
                <w:szCs w:val="17"/>
                <w:color w:val="auto"/>
              </w:rPr>
            </w:pPr>
          </w:p>
        </w:tc>
        <w:tc>
          <w:tcPr>
            <w:tcW w:w="2440" w:type="dxa"/>
            <w:vAlign w:val="bottom"/>
            <w:gridSpan w:val="3"/>
            <w:vMerge w:val="restart"/>
          </w:tcPr>
          <w:p>
            <w:pPr>
              <w:jc w:val="right"/>
              <w:ind w:right="46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December 31,</w:t>
            </w:r>
          </w:p>
        </w:tc>
        <w:tc>
          <w:tcPr>
            <w:tcW w:w="280" w:type="dxa"/>
            <w:vAlign w:val="bottom"/>
          </w:tcPr>
          <w:p>
            <w:pPr>
              <w:spacing w:after="0"/>
              <w:rPr>
                <w:sz w:val="21"/>
                <w:szCs w:val="21"/>
                <w:color w:val="auto"/>
              </w:rPr>
            </w:pPr>
          </w:p>
        </w:tc>
        <w:tc>
          <w:tcPr>
            <w:tcW w:w="24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Revenues (in thousands)</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534,999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444,767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90,232</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117,461</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48.5 %</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218,499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19,122</w:t>
            </w:r>
          </w:p>
        </w:tc>
        <w:tc>
          <w:tcPr>
            <w:tcW w:w="14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1,132,455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905,640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226,815</w:t>
            </w: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Capability:</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637,994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555,915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82,079</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494,461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349,725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144,736</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41.4 %</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1,132,455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905,640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226,815</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Total revenues increased $226.8 million, or 25.0%, to $1.13 billion for the year ended December 31, 2022 from $905.6 million for the year ended December 31, 2021. The overall increase in revenues reflects continued strength in demand for our Digital capability services across all our segments as companies continue to invest in cloud-based technology and analytic solutions, as well as strengthened demand for our Consulting and Managed Services offerings within our Education and Healthcare segments partially the result of a favorable comparison against Education's results in the first two quarters of 2021 which were more significantly impacted by the COVID-19 pandemic. During 2020 and 2021, some clients reprioritized and delayed certain projects as a result of the uncertainties surrounding the pandemic. Additional information on our revenues by segment follows.</w:t>
      </w:r>
    </w:p>
    <w:p>
      <w:pPr>
        <w:spacing w:after="0" w:line="131" w:lineRule="exact"/>
        <w:rPr>
          <w:sz w:val="20"/>
          <w:szCs w:val="20"/>
          <w:color w:val="auto"/>
        </w:rPr>
      </w:pPr>
    </w:p>
    <w:p>
      <w:pPr>
        <w:ind w:left="660" w:right="20" w:hanging="328"/>
        <w:spacing w:after="0" w:line="259" w:lineRule="auto"/>
        <w:tabs>
          <w:tab w:leader="none" w:pos="669"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revenues increased $90.2 million, or 20.3%, driven by strengthened demand for our technology and analytics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and software products within our Digital capability, as well as strengthened demand for our revenue cycle managed services and performance improvement solutions within our Consulting and Managed Services capability. Revenues for the year ended December 31, 2022 included $6.0 million of incremental revenues from our acquisition of Perception Health, Inc., which was completed in December 2021.</w:t>
      </w:r>
    </w:p>
    <w:p>
      <w:pPr>
        <w:spacing w:after="0" w:line="147" w:lineRule="exact"/>
        <w:rPr>
          <w:rFonts w:ascii="Arial" w:cs="Arial" w:eastAsia="Arial" w:hAnsi="Arial"/>
          <w:sz w:val="18"/>
          <w:szCs w:val="18"/>
          <w:b w:val="1"/>
          <w:bCs w:val="1"/>
          <w:color w:val="auto"/>
        </w:rPr>
      </w:pPr>
    </w:p>
    <w:p>
      <w:pPr>
        <w:ind w:left="660" w:right="4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number of revenue-generating professionals within our Healthcare segment grew 18.4% to 1,890 as of December 31, 2022, compared to 1,596 as of December 31, 2021.</w:t>
      </w:r>
    </w:p>
    <w:p>
      <w:pPr>
        <w:spacing w:after="0" w:line="121" w:lineRule="exact"/>
        <w:rPr>
          <w:rFonts w:ascii="Arial" w:cs="Arial" w:eastAsia="Arial" w:hAnsi="Arial"/>
          <w:sz w:val="18"/>
          <w:szCs w:val="18"/>
          <w:b w:val="1"/>
          <w:bCs w:val="1"/>
          <w:color w:val="auto"/>
        </w:rPr>
      </w:pPr>
    </w:p>
    <w:p>
      <w:pPr>
        <w:ind w:left="660" w:right="20" w:hanging="328"/>
        <w:spacing w:after="0" w:line="291" w:lineRule="auto"/>
        <w:tabs>
          <w:tab w:leader="none" w:pos="669"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Education </w:t>
      </w:r>
      <w:r>
        <w:rPr>
          <w:rFonts w:ascii="Arial" w:cs="Arial" w:eastAsia="Arial" w:hAnsi="Arial"/>
          <w:sz w:val="17"/>
          <w:szCs w:val="17"/>
          <w:color w:val="auto"/>
        </w:rPr>
        <w:t>revenues increased $117.5 million, or 48.5%, driven by strengthened demand across all of our services and products</w:t>
      </w:r>
      <w:r>
        <w:rPr>
          <w:rFonts w:ascii="Arial" w:cs="Arial" w:eastAsia="Arial" w:hAnsi="Arial"/>
          <w:sz w:val="17"/>
          <w:szCs w:val="17"/>
          <w:b w:val="1"/>
          <w:bCs w:val="1"/>
          <w:color w:val="auto"/>
        </w:rPr>
        <w:t xml:space="preserve"> </w:t>
      </w:r>
      <w:r>
        <w:rPr>
          <w:rFonts w:ascii="Arial" w:cs="Arial" w:eastAsia="Arial" w:hAnsi="Arial"/>
          <w:sz w:val="17"/>
          <w:szCs w:val="17"/>
          <w:color w:val="auto"/>
        </w:rPr>
        <w:t>within our Consulting and Managed Services and Digital capabilities. Revenues for the year ended December 31, 2022 included $8.2 million of incremental revenues from our acquisition of Whiteboard Communications Ltd., which was completed in December 2021.</w:t>
      </w:r>
    </w:p>
    <w:p>
      <w:pPr>
        <w:spacing w:after="0" w:line="120" w:lineRule="exact"/>
        <w:rPr>
          <w:rFonts w:ascii="Arial" w:cs="Arial" w:eastAsia="Arial" w:hAnsi="Arial"/>
          <w:sz w:val="17"/>
          <w:szCs w:val="17"/>
          <w:b w:val="1"/>
          <w:bCs w:val="1"/>
          <w:color w:val="auto"/>
        </w:rPr>
      </w:pPr>
    </w:p>
    <w:p>
      <w:pPr>
        <w:ind w:left="660" w:right="460"/>
        <w:spacing w:after="0" w:line="261" w:lineRule="auto"/>
        <w:rPr>
          <w:rFonts w:ascii="Arial" w:cs="Arial" w:eastAsia="Arial" w:hAnsi="Arial"/>
          <w:sz w:val="17"/>
          <w:szCs w:val="17"/>
          <w:b w:val="1"/>
          <w:bCs w:val="1"/>
          <w:color w:val="auto"/>
        </w:rPr>
      </w:pPr>
      <w:r>
        <w:rPr>
          <w:rFonts w:ascii="Arial" w:cs="Arial" w:eastAsia="Arial" w:hAnsi="Arial"/>
          <w:sz w:val="18"/>
          <w:szCs w:val="18"/>
          <w:color w:val="auto"/>
        </w:rPr>
        <w:t>The number of revenue-generating professionals within our Education segment grew 50.4% to 1,579 as of December 31, 2022, compared to 1,050 as of December 31, 2021.</w:t>
      </w:r>
    </w:p>
    <w:p>
      <w:pPr>
        <w:spacing w:after="0" w:line="121" w:lineRule="exact"/>
        <w:rPr>
          <w:rFonts w:ascii="Arial" w:cs="Arial" w:eastAsia="Arial" w:hAnsi="Arial"/>
          <w:sz w:val="17"/>
          <w:szCs w:val="17"/>
          <w:b w:val="1"/>
          <w:bCs w:val="1"/>
          <w:color w:val="auto"/>
        </w:rPr>
      </w:pPr>
    </w:p>
    <w:p>
      <w:pPr>
        <w:ind w:left="660" w:right="220" w:hanging="328"/>
        <w:spacing w:after="0" w:line="255" w:lineRule="auto"/>
        <w:tabs>
          <w:tab w:leader="none" w:pos="669"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revenues increased $19.1 million, or 8.8%, driven by strengthened demand for our technology and analytics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our Digital capability and our corporate finance advisory solution within our Consulting and Managed Services capability, partially offset by a decrease in revenues due to the divestiture of our Life Sciences business in the fourth quarter of 2021 and a decrease in demand for our financial advisory solutions within the Consulting and Managed Services capability. The Life Sciences business generated $16.7 million of revenues in the first ten months of 2021. Revenues for the year ended December 31, 2022 included $3.0 million of incremental revenues from our acquisitions of AIMDATA, LLC and Unico Solution, Inc., which were completed in January 2022 and February 2021, respectively. Excluding the revenue generated by Life Sciences in 2021 and the acquisitions of AIMDATA and Unico Solutions in 2022, Commercial revenues increased $32.9 million, or 16.3%.</w:t>
      </w:r>
    </w:p>
    <w:p>
      <w:pPr>
        <w:spacing w:after="0" w:line="152" w:lineRule="exact"/>
        <w:rPr>
          <w:rFonts w:ascii="Arial" w:cs="Arial" w:eastAsia="Arial" w:hAnsi="Arial"/>
          <w:sz w:val="18"/>
          <w:szCs w:val="18"/>
          <w:b w:val="1"/>
          <w:bCs w:val="1"/>
          <w:color w:val="auto"/>
        </w:rPr>
      </w:pPr>
    </w:p>
    <w:p>
      <w:pPr>
        <w:ind w:left="660" w:right="2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number of revenue-generating professionals within our Commercial segment grew 20.6% to 1,363 as of December 31, 2022, compared to 1,130 as of December 31, 2021. This increase includes the impact of the divestiture of our Life Sciences business completed in the fourth quarter of 2021. The Life Sciences business employed approximately 65 revenue-generating professionals prior to the divestiture.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year ended December 31, 2022 increased $185.1 million, or 21.2%, over the year ended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and operating expenses as a percentage of revenues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Expenses (in thousands, except</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 /</w:t>
            </w:r>
          </w:p>
        </w:tc>
      </w:tr>
      <w:tr>
        <w:trPr>
          <w:trHeight w:val="237"/>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amounts as a percentage of revenues)</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2021</w:t>
            </w: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785,881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rPr>
              <w:t>69.4%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7"/>
              </w:rPr>
              <w:t>70.3%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149,105</w:t>
            </w:r>
          </w:p>
        </w:tc>
      </w:tr>
      <w:tr>
        <w:trPr>
          <w:trHeight w:val="229"/>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26,671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97"/>
              </w:rPr>
              <w:t>2.4%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21,369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5,302</w:t>
            </w: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209,381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7"/>
              </w:rPr>
              <w:t>19.7%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31,297</w:t>
            </w: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Restructuring charges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97"/>
              </w:rPr>
              <w:t>0.9%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12,401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(2,492)</w:t>
            </w: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color w:val="auto"/>
                <w:w w:val="97"/>
              </w:rPr>
              <w:t>2.3%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right="19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r>
      <w:tr>
        <w:trPr>
          <w:trHeight w:val="223"/>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1,059,201</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874,119</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7"/>
              </w:rPr>
              <w:t>96.5%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185,082</w:t>
            </w:r>
          </w:p>
        </w:tc>
      </w:tr>
      <w:tr>
        <w:trPr>
          <w:trHeight w:val="20"/>
        </w:trPr>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Costs</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Direct costs increased $149.1 million, or 23.4%, to $785.9 million for the year ended December 31, 2022 from $636.8 million for the year ended December 31, 2021. The $149.1 million increase primarily related to an $113.9 million increase in compensation costs for our revenue-generating professionals, driven by increased headcount, annual salary increases that went into effect in the first quarter of 2022, and increases in performance bonus expense and share-based compensation expense. Additional increases in direct costs include a $26.2 million increase in contractor expense, a $5.7 million increase in technology costs, and a $2.5 million increase in product and event costs. As a percentage of revenues, direct costs decreased to 69.4% during 2022, compared to 70.3% during 2021, primarily due to revenue growth that outpaced the increase in compensation costs for our revenue-generating professionals, partially offset by the increase in contractor expense, as a percentage of revenues.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Reimbursable Expenses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Reimbursable expenses are billed to clients at cost and primarily relate to travel and out-of-pocket expenses incurred in connection with client engagements. These expenses are also included in total revenues and reimbursable expenses. We manage our business on the basis of revenues before reimbursable expenses, which we believe is the most accurate reflection of our services because it eliminates the effect of reimbursable expenses that are also included as a component of operating expenses.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Selling, general and administrative expenses increased by $31.3 million, or 17.6%, to $209.4 million for the year ended December 31, 2022 from $178.1 million for the year ended December 31, 2021. The $31.3 million increase primarily related to a $21.0 million increase in non-payroll costs including a $7.0 million increase in promotion and marketing expenses, a $5.2 million increase in practice administration and meetings expenses, a $4.6 million increase in software and data hosting expenses, a $2.3 million increase in training expenses, and a $1.3 million increase in third-party professional fees; partially offset by a $2.0 million decrease in legal expenses. Additionally, selling, general and administrative expenses increased by $10.3 million related to compensation costs for our support personnel, which includes an $11.3 million increase in salaries and related expenses, a $6.3 million increase in performance bonus expense and a $3.4 million increase in share-based compensation expense; partially offset by an $11.7 million decrease in deferred compensation expense attributable to the change in the market value of our deferred compensation liability. The decrease in deferred compensation expense is offset by a decrease in the gain recognized for the change in the market value of investments that are used to fund our deferred compensation liability and recognized in other income (expense), net. As a percentage of revenues, selling, general and administrative expenses decreased to 18.5% during 2022, compared to 19.7% during 2021. This decrease was primarily due to the decrease in deferred compensation expense attributable to the change in the market value of our deferred compensation liability and revenue growth that outpaced the increase in salaries and related expenses for our support personnel, partially offset by the increases in promotion and marketing expenses and practice administration and meetings expenses, as percentages of revenue.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93"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Restructuring charges for the year ended December 31, 2022 were $9.9 million, compared to $12.4 million for the year ended December 31, 2021. The $9.9 million of restructuring charges incurred in 2022 included $5.7 million of employee-related expenses; $2.3 million for rent and related expenses, net of sublease income, for previously vacated office spaces; $0.7 million for third-party professional advisory fees related to the modification of our operating model; and $0.6 million for the early termination of a contract.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Of the $12.4 million of restructuring charges incurred in 2021, $8.5 million was in connection with the sale of our Life Sciences business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fourth quarter of 2021. The $8.5 million charge related to the sale consisted of $6.8 million of transaction-related employee payments;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$0.9 million of third-party legal and professional advisory fees; and $0.8 million of accelerated amortization and depreciation on the operating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lease right-of-use asset and fixed assets related to our London, U.K. office space, which we vacated as a result of the divestiture.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Additionally, in 2021, we incurred $2.3 million of rent and related expenses, net of sublease income, and accelerated depreciation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furniture and fixtures for other previously vacated office spaces, and $1.3 million of other employee-related expenses.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Depreciation and amortization expense, which includes amortization of intangible assets and software development costs previously presented separately, increased $1.9 million, or 7.3%, to $27.4 million for the year ended December 31, 2022, compared to $25.5 million for the year ended December 31, 2021. The $1.9 million increase in depreciation and amortization expense was primarily attributable to an increase in amortization of intangible assets acquired in business acquisitions completed in the fourth quarter quarter of 2021 and in 2022, partially offset by decreasing amortization expense for certain intangible assets acquired due to the accelerated basis of amortization in prior periods.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Operating Margin</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Operating income increased $46.9 million to $ 99.8 million for the year ended December 31, 2022 from $52.8 million for the year ended December 31, 2021. Operating margin, which is defined as operating income expressed as a percentage of revenues, increased to 8.8% for 2022, compared to 5.8% for 2021.</w:t>
      </w:r>
    </w:p>
    <w:p>
      <w:pPr>
        <w:spacing w:after="0" w:line="14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Operating income and operating margin for each of our segments is as follows. See the Segment and Consolidated Operating Results table above for a reconciliation of our total segment operating income to consolidated Huron operating income.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2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 Operating Income (in thousands,</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 /</w:t>
            </w:r>
          </w:p>
        </w:tc>
      </w:tr>
      <w:tr>
        <w:trPr>
          <w:trHeight w:val="237"/>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except operating margin percentages)</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2021</w:t>
            </w: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131,227</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118,324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12,903</w:t>
            </w: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78,924</w:t>
            </w:r>
          </w:p>
        </w:tc>
        <w:tc>
          <w:tcPr>
            <w:tcW w:w="360" w:type="dxa"/>
            <w:vAlign w:val="bottom"/>
          </w:tcPr>
          <w:p>
            <w:pPr>
              <w:spacing w:after="0"/>
              <w:rPr>
                <w:sz w:val="19"/>
                <w:szCs w:val="19"/>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52,398</w:t>
            </w:r>
          </w:p>
        </w:tc>
        <w:tc>
          <w:tcPr>
            <w:tcW w:w="38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26,526</w:t>
            </w:r>
          </w:p>
        </w:tc>
      </w:tr>
      <w:tr>
        <w:trPr>
          <w:trHeight w:val="23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50,025</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15,729</w:t>
            </w:r>
          </w:p>
        </w:tc>
      </w:tr>
      <w:tr>
        <w:trPr>
          <w:trHeight w:val="223"/>
        </w:trPr>
        <w:tc>
          <w:tcPr>
            <w:tcW w:w="41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segment operating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260,176</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205,018</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55,158</w:t>
            </w:r>
          </w:p>
        </w:tc>
      </w:tr>
      <w:tr>
        <w:trPr>
          <w:trHeight w:val="20"/>
        </w:trPr>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60" w:hanging="328"/>
        <w:spacing w:after="0" w:line="255" w:lineRule="auto"/>
        <w:tabs>
          <w:tab w:leader="none" w:pos="669"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operating income increased primarily due to the increase in revenues, partially offset by increases in compensation costs</w:t>
      </w:r>
      <w:r>
        <w:rPr>
          <w:rFonts w:ascii="Arial" w:cs="Arial" w:eastAsia="Arial" w:hAnsi="Arial"/>
          <w:sz w:val="18"/>
          <w:szCs w:val="18"/>
          <w:b w:val="1"/>
          <w:bCs w:val="1"/>
          <w:color w:val="auto"/>
        </w:rPr>
        <w:t xml:space="preserve"> </w:t>
      </w:r>
      <w:r>
        <w:rPr>
          <w:rFonts w:ascii="Arial" w:cs="Arial" w:eastAsia="Arial" w:hAnsi="Arial"/>
          <w:sz w:val="18"/>
          <w:szCs w:val="18"/>
          <w:color w:val="auto"/>
        </w:rPr>
        <w:t>for our revenue-generating professionals, contractor expenses, practice administration and meetings expenses, compensation costs for our support personnel, amortization of intangible assets, and technology expenses. The increase in compensation costs for our revenue-generating professionals was driven by an increase in headcount and annual salary increases that went into effect in the first quarter of 2022, as well as increases in performance bonus expense and share-based compensation expense; partially offset by a decrease in signing, retention and other bonus expenses. Healthcare operating margin decreased primarily due to the increases in contractor expenses, practice administration and meetings expenses and amortization of intangible assets, as percentages of revenues; partially offset by revenue growth that outpaced the increase in compensation costs for our revenue-generating professionals.</w:t>
      </w:r>
    </w:p>
    <w:p>
      <w:pPr>
        <w:spacing w:after="0" w:line="126" w:lineRule="exact"/>
        <w:rPr>
          <w:rFonts w:ascii="Arial" w:cs="Arial" w:eastAsia="Arial" w:hAnsi="Arial"/>
          <w:sz w:val="18"/>
          <w:szCs w:val="18"/>
          <w:b w:val="1"/>
          <w:bCs w:val="1"/>
          <w:i w:val="1"/>
          <w:iCs w:val="1"/>
          <w:color w:val="auto"/>
        </w:rPr>
      </w:pPr>
    </w:p>
    <w:p>
      <w:pPr>
        <w:ind w:left="660" w:right="60" w:hanging="328"/>
        <w:spacing w:after="0" w:line="257"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operating income increased primarily due to the increase in revenues, partially offset by increases in compensation costs</w:t>
      </w:r>
      <w:r>
        <w:rPr>
          <w:rFonts w:ascii="Arial" w:cs="Arial" w:eastAsia="Arial" w:hAnsi="Arial"/>
          <w:sz w:val="18"/>
          <w:szCs w:val="18"/>
          <w:b w:val="1"/>
          <w:bCs w:val="1"/>
          <w:color w:val="auto"/>
        </w:rPr>
        <w:t xml:space="preserve"> </w:t>
      </w:r>
      <w:r>
        <w:rPr>
          <w:rFonts w:ascii="Arial" w:cs="Arial" w:eastAsia="Arial" w:hAnsi="Arial"/>
          <w:sz w:val="18"/>
          <w:szCs w:val="18"/>
          <w:color w:val="auto"/>
        </w:rPr>
        <w:t>for our revenue-generating professionals, contractor expenses, restructuring charges, technology expenses, and promotion and marketing expenses. The increase in compensation costs for our revenue-generating professionals was driven by an increase in headcount and annual salary increases that went into effect in the first quarter of 2022, as well as increases in performance bonus expense and signing, retention and other bonus expenses. Education operating margin increased due to revenue growth that outpaced the increase in compensation costs; partially offset by the increases in non-payroll costs, as percentages of revenues.</w:t>
      </w:r>
    </w:p>
    <w:p>
      <w:pPr>
        <w:spacing w:after="0" w:line="128" w:lineRule="exact"/>
        <w:rPr>
          <w:rFonts w:ascii="Arial" w:cs="Arial" w:eastAsia="Arial" w:hAnsi="Arial"/>
          <w:sz w:val="18"/>
          <w:szCs w:val="18"/>
          <w:color w:val="auto"/>
        </w:rPr>
      </w:pPr>
    </w:p>
    <w:p>
      <w:pPr>
        <w:ind w:left="660" w:right="80" w:hanging="328"/>
        <w:spacing w:after="0" w:line="255" w:lineRule="auto"/>
        <w:tabs>
          <w:tab w:leader="none" w:pos="669"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operating income increased primarily due to the increase in revenues, as well as a decrease in restructuring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partially offset by increases in contractor expenses, promotion and marketing expenses, and compensation costs for both our revenue-generating professionals and support personnel. The increase in compensation costs was driven by an increase in performance bonus expense, partially offset by a decrease in salaries and related expenses for our revenue-generating professionals primarily driven by the divestiture of our Life Sciences business in the fourth quarter of 2021. Commercial operating margin increased due to revenue growth that outpaced the increase in compensation costs for our revenue-generating professionals and the decrease in restructuring charges; partially offset by the increases in promotion and marketing expenses and contractor expenses, as percentages of revenues.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Interest expense, net of interest income increased $3.7 million to $ 11.9 million for the year ended December 31, 2022 from $8.2 million for the year ended December 31, 2021 primarily attributable to higher levels of borrowing under our credit facility in 2022 compared to 2021, as well as an increase in interest rates over the same periods. See “Liquidity and Capital Resources” below and Note 7 “Financing Arrangements” within the notes to our consolidated financial statements for additional information on our senior secured credit facility.</w:t>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Other income, net decreased $14.6 million to $ 20.7 million for the year ended December 31, 2022 from $35.3 million for the year ended December 31, 2021. The $20.7 million of other income, net in 2022 includes a $27.0 million unrealized gain related to the increase in the fair value of our preferred stock investment in Medically Home, partially offset by a $7.4 million unrealized loss on the market value of our deferred compensation investments that are used to fund our deferred compensation liability. The $35.3 million of other income, net in 2021 includes a $31.5 million pre-tax gain on the sale of our Life Sciences business in the fourth quarter of 2021 and a $4.2 million unrealized gain on the market value of our deferred compensation investments. See Note 10 “Fair Value of Financial Instruments” within the notes to our consolidated financial statements for additional information on our preferred stock investment in Medically Home.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the year ended December 31, 2022, our effective tax rate was 30.4% as we recognized income tax expense of $ 33.0 million on income of $108.6 million. The effective tax rate of 30.4% was less favorable than the statutory rate, inclusive of state income taxes, of 26.7%, primarily due to tax expense related to nondeductible losses on our investments used to fund our deferred compensation liability and certain nondeductible expense items.</w:t>
      </w:r>
    </w:p>
    <w:p>
      <w:pPr>
        <w:spacing w:after="0" w:line="15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the year ended December 31, 2021, our effective tax rate was 21.3% as we recognized income tax expense of $ 17.0 million on income of $80.0 million. The effective tax rate of 21.3% was more favorable than the statutory rate, inclusive of state income taxes, of 26.3%, primarily due to the discrete tax benefits related to the CARES Act described below. The effective tax rate also reflected the positive impact of certain federal tax credits and the discrete tax benefit recognized during the second quarter of 2021 related to electing the Global Intangible Low-Taxed Income (“GILTI”) high-tax exclusion retroactively for the 2018 tax year. On July 20, 2020, the U.S. Treasury issued and enacted final regulations related to GILTI that allow certain U.S. taxpayers to elect to exclude foreign income that is subject to a high effective tax rate from their GILTI inclusions. The GILTI high-tax exclusion is an annual election and is retroactively available. These favorable items were partially offset by certain nondeductible business expenses and increases in our valuation allowance primarily due to increases in deferred tax assets recorded for foreign tax credits.</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CARES Act, which was signed into law on March 27, 2020, is an approximately $2 trillion emergency economic stimulus package in response to the COVID-19 outbreak, which among other items, includes income tax provisions relating to net operating loss carryback period, options to defer payroll tax payments for a limited period and technical corrections to tax depreciation methods for qualified improvement property. As a result of the CARES Act, we recognized a $1.5 million tax benefit in 2020 related to the remeasurement of a portion of our income tax receivable for the federal net operating losses incurred in 2018 and 2020 that were carried back to prior year income, both for a refund at the higher, prior year tax rate. As a result of electing the retroactive GILTI high-tax exclusion in the second quarter of 2021, we recognized a $ 1.0 million tax benefit of which $0.4 million related to carrying back our increased 2018 federal net operating loss to prior year income for a refund at the higher, prior year tax rate. During the third quarter of 2021, we recognized an additional tax benefit of $2.0 million, primarily related to the U.S. federal return to provision adjustments for carrying back our increased 2020 federal net operating loss to prior year income for a refund at the higher, prior year tax rate.</w:t>
      </w:r>
    </w:p>
    <w:p>
      <w:pPr>
        <w:spacing w:after="0" w:line="15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See Note 17 "Income Taxes" within the notes to our consolidated financial statements for additional information on our income tax expense (benefit).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 and Earnings per Share</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Net income from continuing operations increased $12.6 million to $75.6 million for the year ended December 31, 2022 from $63.0 million for the year ended December 31, 2021. As a result of the increase in net income from continuing operations, diluted earnings per share from continuing operations for the year ended December 31, 2022 was $3.64, compared to $2.89 for the year ended December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9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EBITDA increased $34.2 million to $148.7 million for the year ended December 31, 2022 from $114.5 million for the year ended December 31, 2021. The increase in EBITDA was primarily attributable to the increase in segment income and the $ 27.0 million unrealized gain recognized in the first quarter of 2022 related to the increase in the fair value of our preferred stock investment; partially offset by the $31.5 million gain on sale of our Life Sciences business recognized in the fourth quarter of 2021 and an increase in corporate expenses in 2022 compared to 2021, excluding the impact of the change in the market value of our deferred compensation liability on corporate expenses.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Adjusted EBITDA increased $33.0 million to $ 130.8 million for the year ended December 31, 2022 from $97.8 million for the year ended December 31,2021. The increase in adjusted EBITDA was primarily attributable to the increase in segment operating income; partially offset by an increase in corporate expenses, excluding the impact of the change in the market value of our deferred compensation liability and restructuring charges on segment operating income and corporate expenses.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 and Adjusted Earnings per Share</w:t>
      </w:r>
    </w:p>
    <w:p>
      <w:pPr>
        <w:spacing w:after="0" w:line="19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Adjusted net income from continuing operations increased $14.3 million to $71.1 million for the year ended December 31, 2022, compared to $56.9 million for the year ended December 31, 2021. As a result of the increase in adjusted net income from continuing operations, adjusted diluted earnings per share from continuing operations was $3.43 in 2022, compared to $2.61 in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2021 Compared to Year Ended December 31, 2020</w:t>
      </w:r>
    </w:p>
    <w:p>
      <w:pPr>
        <w:spacing w:after="0" w:line="17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As a result of our operating segment modification effective January 1, 2022, we recast our historical segment information for consistent presentation. Our consolidated results were not impacted by the operating segment modification. Therefore, the following discussion compares the recast segment revenue and segment operating income for 2021 to 2020. For a discussion of our consolidated results of operations for 2021 compared to 2020, which were not impacted by the operating segment modification, refer to Part II—Item 7. "Management’s Discussion and Analysis of Financial Condition and Results of Operations" of the Annual Report on Form 10-K for the year ended December 31, 2021, which was filed with the United States Securities and Exchange Commission on February 24,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and capability for the years ended December 31, 2021 and 2020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8"/>
              </w:rPr>
              <w:t>Year Ended</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vMerge w:val="restart"/>
          </w:tcPr>
          <w:p>
            <w:pPr>
              <w:jc w:val="right"/>
              <w:ind w:right="52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21"/>
                <w:szCs w:val="21"/>
                <w:color w:val="auto"/>
              </w:rPr>
            </w:pPr>
          </w:p>
        </w:tc>
        <w:tc>
          <w:tcPr>
            <w:tcW w:w="252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Revenues (in thousands)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540" w:type="dxa"/>
            <w:vAlign w:val="bottom"/>
            <w:tcBorders>
              <w:top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444,767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406,536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38,231</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19,049</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Commercial</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218,499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4,233</w:t>
            </w:r>
          </w:p>
        </w:tc>
        <w:tc>
          <w:tcPr>
            <w:tcW w:w="15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905,640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61,513</w:t>
            </w:r>
          </w:p>
        </w:tc>
        <w:tc>
          <w:tcPr>
            <w:tcW w:w="1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Capability:</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555,915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514,086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41,829</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349,725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19,684</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23"/>
        </w:trPr>
        <w:tc>
          <w:tcPr>
            <w:tcW w:w="56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905,640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844,127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61,513</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Total revenues increased $61.5 million, or 7.3% to $905.6 million for the year ended December 31, 2021 from $844.1 million for the year ended December 31, 2020. The increase in revenues reflected strengthened demand for services in all of our segments; the favorable comparison against 2020, which was more significantly impacted by the COVID-19 pandemic as some clients reprioritized and delayed certain projects as a result of the uncertainties surrounding the pandemic, particularly within our Healthcare and Education segments; and the incremental revenues from our acquisitions. Additional information on our revenues by segment follows.</w:t>
      </w:r>
    </w:p>
    <w:p>
      <w:pPr>
        <w:spacing w:after="0" w:line="129" w:lineRule="exact"/>
        <w:rPr>
          <w:sz w:val="20"/>
          <w:szCs w:val="20"/>
          <w:color w:val="auto"/>
        </w:rPr>
      </w:pPr>
    </w:p>
    <w:p>
      <w:pPr>
        <w:ind w:left="660" w:right="40" w:hanging="328"/>
        <w:spacing w:after="0" w:line="255" w:lineRule="auto"/>
        <w:tabs>
          <w:tab w:leader="none" w:pos="669"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revenues increased $38.2 million, or 9.4%, which reflected strengthened demand for this segment's services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the favorable comparison against 2020, which was more significantly impacted by the COVID-19 pandemic as some clients reprioritized and delayed certain projects as a result of the uncertainties surrounding the pandemic. The strengthened demand was primarily driven by our revenue cycle managed services, performance improvement, and corporate finance advisory solutions within our Consulting and Managed Services capability and our technology and analytics services within our Digital capability. These increases in demand were partially offset by a decrease in demand for our culture and organizational excellence solution within our Consulting and Managed Services capability. Revenues in 2021 included $6.5 million of incremental revenues from our acquisition of ForceIQ which was completed in November 2020.</w:t>
      </w:r>
    </w:p>
    <w:p>
      <w:pPr>
        <w:spacing w:after="0" w:line="152" w:lineRule="exact"/>
        <w:rPr>
          <w:rFonts w:ascii="Arial" w:cs="Arial" w:eastAsia="Arial" w:hAnsi="Arial"/>
          <w:sz w:val="18"/>
          <w:szCs w:val="18"/>
          <w:b w:val="1"/>
          <w:bCs w:val="1"/>
          <w:i w:val="1"/>
          <w:iCs w:val="1"/>
          <w:color w:val="auto"/>
        </w:rPr>
      </w:pPr>
    </w:p>
    <w:p>
      <w:pPr>
        <w:ind w:left="660" w:right="100"/>
        <w:spacing w:after="0" w:line="252"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number of revenue-generating professionals within our Healthcare segment grew 42.9% to 1,596 as of December 31, 2021, compared to 1,117 as of December 31, 2020. The increase in revenue-generating professionals includes the hiring of approximately 300 employees during the second quarter of 2021 to expand our capacity to manage and provide revenue cycle billing, collections, insurance verification and change integrity services to our healthcare clients. These employees serve clients in our Managed Services capability, including serving under a short-term contract with an existing client which we entered into in connection with this group hire.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right="40" w:hanging="328"/>
        <w:spacing w:after="0" w:line="256" w:lineRule="auto"/>
        <w:tabs>
          <w:tab w:leader="none" w:pos="669"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revenues increased $19.0 million, or 8.5%. This segment's revenues were significantly impacted by the COVID-19</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 beginning in the third quarter of 2020 through the first half of 2021 as some clients reprioritized and delayed certain projects as a result of the uncertainties surrounding the pandemic. Demand for this segment's services strengthened over the course of 2021, primarily in our strategy and operations and research solutions within our Consulting and Managed Services capability, driving an overall increase in total revenues for full year 2021 compared to full year 2020. Revenues in 2021 included $1.0 million of incremental revenues from our acquisitions of Unico Solutions and Whiteboard, which were completed in February 2021 and December 2021, respectively.</w:t>
      </w:r>
    </w:p>
    <w:p>
      <w:pPr>
        <w:spacing w:after="0" w:line="150" w:lineRule="exact"/>
        <w:rPr>
          <w:rFonts w:ascii="Arial" w:cs="Arial" w:eastAsia="Arial" w:hAnsi="Arial"/>
          <w:sz w:val="18"/>
          <w:szCs w:val="18"/>
          <w:b w:val="1"/>
          <w:bCs w:val="1"/>
          <w:i w:val="1"/>
          <w:iCs w:val="1"/>
          <w:color w:val="auto"/>
        </w:rPr>
      </w:pPr>
    </w:p>
    <w:p>
      <w:pPr>
        <w:ind w:left="660" w:right="460"/>
        <w:spacing w:after="0" w:line="261"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number of revenue-generating professionals within our Education segment grew 20.3% to 1,050 as of December 31, 2021, compared to 873 as of December 31, 2020.</w:t>
      </w:r>
    </w:p>
    <w:p>
      <w:pPr>
        <w:spacing w:after="0" w:line="121" w:lineRule="exact"/>
        <w:rPr>
          <w:rFonts w:ascii="Arial" w:cs="Arial" w:eastAsia="Arial" w:hAnsi="Arial"/>
          <w:sz w:val="18"/>
          <w:szCs w:val="18"/>
          <w:b w:val="1"/>
          <w:bCs w:val="1"/>
          <w:i w:val="1"/>
          <w:iCs w:val="1"/>
          <w:color w:val="auto"/>
        </w:rPr>
      </w:pPr>
    </w:p>
    <w:p>
      <w:pPr>
        <w:ind w:left="660" w:hanging="328"/>
        <w:spacing w:after="0" w:line="257" w:lineRule="auto"/>
        <w:tabs>
          <w:tab w:leader="none" w:pos="669"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revenues increased $4.2 million, or 2.0%, driven by strengthened demand for our cloud-based technology and</w:t>
      </w:r>
      <w:r>
        <w:rPr>
          <w:rFonts w:ascii="Arial" w:cs="Arial" w:eastAsia="Arial" w:hAnsi="Arial"/>
          <w:sz w:val="18"/>
          <w:szCs w:val="18"/>
          <w:b w:val="1"/>
          <w:bCs w:val="1"/>
          <w:color w:val="auto"/>
        </w:rPr>
        <w:t xml:space="preserve"> </w:t>
      </w:r>
      <w:r>
        <w:rPr>
          <w:rFonts w:ascii="Arial" w:cs="Arial" w:eastAsia="Arial" w:hAnsi="Arial"/>
          <w:sz w:val="18"/>
          <w:szCs w:val="18"/>
          <w:color w:val="auto"/>
        </w:rPr>
        <w:t>analytics solutions within our Digital capability, partially offset by the decrease in revenues related to the divestiture of our Life Sciences business in the fourth quarter of 2021. Revenues generated by the Life Sciences business in the first ten months of 2021 and full year 2020 were $16.7 million and $29.4 million, respectively. Revenues in 2021 included $7.4 million of incremental revenues from our acquisitions of ForceIQ, Inc. and Unico Solutions, which were completed in November 2020 and February 2021, respectively.</w:t>
      </w:r>
    </w:p>
    <w:p>
      <w:pPr>
        <w:spacing w:after="0" w:line="150" w:lineRule="exact"/>
        <w:rPr>
          <w:rFonts w:ascii="Arial" w:cs="Arial" w:eastAsia="Arial" w:hAnsi="Arial"/>
          <w:sz w:val="18"/>
          <w:szCs w:val="18"/>
          <w:color w:val="auto"/>
        </w:rPr>
      </w:pPr>
    </w:p>
    <w:p>
      <w:pPr>
        <w:jc w:val="both"/>
        <w:ind w:left="660" w:right="400"/>
        <w:spacing w:after="0" w:line="256" w:lineRule="auto"/>
        <w:rPr>
          <w:rFonts w:ascii="Arial" w:cs="Arial" w:eastAsia="Arial" w:hAnsi="Arial"/>
          <w:sz w:val="18"/>
          <w:szCs w:val="18"/>
          <w:color w:val="auto"/>
        </w:rPr>
      </w:pPr>
      <w:r>
        <w:rPr>
          <w:rFonts w:ascii="Arial" w:cs="Arial" w:eastAsia="Arial" w:hAnsi="Arial"/>
          <w:sz w:val="18"/>
          <w:szCs w:val="18"/>
          <w:color w:val="auto"/>
        </w:rPr>
        <w:t>The number of revenue-generating professionals within our Commercial segment grew 6.7% to 1,130 as of December 31, 2021, compared to 1,059 as of December 31, 2020. This increase includes the impact of the divestiture of our Life Sciences business, which employed 99 revenue-generating professionals as of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Operating Margin</w:t>
      </w:r>
    </w:p>
    <w:p>
      <w:pPr>
        <w:spacing w:after="0" w:line="19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Operating income increased $81.7 million to $52.8 million for the year ended December 31, 2021 from a loss of $28.9 million for the year ended December 31, 2020. The operating loss for the year ended December 31, 2020 is primarily attributable to $59.8 million of non-cash pretax goodwill impairment charges recognized in the first quarter of 2020 that related to our legacy Business Advisory segment. The goodwill impairment charges are not allocated at the segment level because the underlying goodwill asset is reflective of our corporate investment in the segment and we do not include the impact of goodwill impairment charges in our evaluation of segment performance. See Note 4 “Goodwill and Intangible Assets” within the notes to our consolidated financial statements for additional information on the goodwill impairment charges recognized in the first quarter of 2020.</w:t>
      </w:r>
    </w:p>
    <w:p>
      <w:pPr>
        <w:spacing w:after="0" w:line="15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Operating margin, which is defined as operating income expressed as a percentage of revenues, increased to 5.8% in 2021, compared to (3.4%) in 2020.</w:t>
      </w:r>
    </w:p>
    <w:p>
      <w:pPr>
        <w:spacing w:after="0" w:line="14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Operating income and operating margin for each of our segments is as follows. See the Segment and Consolidated Operating Results table above for a reconciliation of our total segment operating income to consolidated Huron operating income.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2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 Operating Income (in thousands,</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 /</w:t>
            </w:r>
          </w:p>
        </w:tc>
      </w:tr>
      <w:tr>
        <w:trPr>
          <w:trHeight w:val="237"/>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except operating margin percentages)</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2020</w:t>
            </w: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118,324</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12,674</w:t>
            </w:r>
          </w:p>
        </w:tc>
      </w:tr>
      <w:tr>
        <w:trPr>
          <w:trHeight w:val="230"/>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52,398</w:t>
            </w:r>
          </w:p>
        </w:tc>
        <w:tc>
          <w:tcPr>
            <w:tcW w:w="360" w:type="dxa"/>
            <w:vAlign w:val="bottom"/>
          </w:tcPr>
          <w:p>
            <w:pPr>
              <w:spacing w:after="0"/>
              <w:rPr>
                <w:sz w:val="19"/>
                <w:szCs w:val="19"/>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45,780</w:t>
            </w:r>
          </w:p>
        </w:tc>
        <w:tc>
          <w:tcPr>
            <w:tcW w:w="380" w:type="dxa"/>
            <w:vAlign w:val="bottom"/>
          </w:tcPr>
          <w:p>
            <w:pPr>
              <w:spacing w:after="0"/>
              <w:rPr>
                <w:sz w:val="19"/>
                <w:szCs w:val="19"/>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6,618</w:t>
            </w:r>
          </w:p>
        </w:tc>
      </w:tr>
      <w:tr>
        <w:trPr>
          <w:trHeight w:val="23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34,296</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w:t>
            </w:r>
          </w:p>
        </w:tc>
      </w:tr>
      <w:tr>
        <w:trPr>
          <w:trHeight w:val="223"/>
        </w:trPr>
        <w:tc>
          <w:tcPr>
            <w:tcW w:w="41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segment operating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205,018</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190,474</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14,544</w:t>
            </w:r>
          </w:p>
        </w:tc>
      </w:tr>
      <w:tr>
        <w:trPr>
          <w:trHeight w:val="20"/>
        </w:trPr>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60" w:right="180" w:hanging="328"/>
        <w:spacing w:after="0" w:line="256" w:lineRule="auto"/>
        <w:tabs>
          <w:tab w:leader="none" w:pos="669"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operating income increased primarily due to the increase in revenues, as well as decreases in practice administration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meetings expenses, restructuring charges and contractor expenses. These increases to operating income were partially offset by an increase in compensation costs for our revenue-generating professionals. The increase in compensation costs was driven by an increase in headcount, as well as increases in performance bonus expense and signing, retention and other bonus expense.</w:t>
      </w:r>
    </w:p>
    <w:p>
      <w:pPr>
        <w:spacing w:after="0" w:line="2" w:lineRule="exact"/>
        <w:rPr>
          <w:rFonts w:ascii="Arial" w:cs="Arial" w:eastAsia="Arial" w:hAnsi="Arial"/>
          <w:sz w:val="18"/>
          <w:szCs w:val="18"/>
          <w:b w:val="1"/>
          <w:bCs w:val="1"/>
          <w:i w:val="1"/>
          <w:iCs w:val="1"/>
          <w:color w:val="auto"/>
        </w:rPr>
      </w:pPr>
    </w:p>
    <w:p>
      <w:pPr>
        <w:ind w:left="660" w:right="420"/>
        <w:spacing w:after="0" w:line="254" w:lineRule="auto"/>
        <w:rPr>
          <w:rFonts w:ascii="Arial" w:cs="Arial" w:eastAsia="Arial" w:hAnsi="Arial"/>
          <w:sz w:val="18"/>
          <w:szCs w:val="18"/>
          <w:b w:val="1"/>
          <w:bCs w:val="1"/>
          <w:i w:val="1"/>
          <w:iCs w:val="1"/>
          <w:color w:val="auto"/>
        </w:rPr>
      </w:pPr>
      <w:r>
        <w:rPr>
          <w:rFonts w:ascii="Arial" w:cs="Arial" w:eastAsia="Arial" w:hAnsi="Arial"/>
          <w:sz w:val="18"/>
          <w:szCs w:val="18"/>
          <w:color w:val="auto"/>
        </w:rPr>
        <w:t>Healthcare operating margin increased primarily due to decreases in compensation costs for our support personnel, contractor expenses, practice administration and meetings expenses and restructuring charges. These increases to the segment operating margin were partially offset by the increase in compensation costs for our revenue-generating professionals, as a percentage of revenues.</w:t>
      </w:r>
    </w:p>
    <w:p>
      <w:pPr>
        <w:spacing w:after="0" w:line="127" w:lineRule="exact"/>
        <w:rPr>
          <w:rFonts w:ascii="Arial" w:cs="Arial" w:eastAsia="Arial" w:hAnsi="Arial"/>
          <w:sz w:val="18"/>
          <w:szCs w:val="18"/>
          <w:b w:val="1"/>
          <w:bCs w:val="1"/>
          <w:i w:val="1"/>
          <w:iCs w:val="1"/>
          <w:color w:val="auto"/>
        </w:rPr>
      </w:pPr>
    </w:p>
    <w:p>
      <w:pPr>
        <w:ind w:left="660" w:right="220" w:hanging="328"/>
        <w:spacing w:after="0" w:line="259" w:lineRule="auto"/>
        <w:tabs>
          <w:tab w:leader="none" w:pos="669"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operating income increased primarily due to the increase in revenues and a decrease in restructuring charges, partially</w:t>
      </w:r>
      <w:r>
        <w:rPr>
          <w:rFonts w:ascii="Arial" w:cs="Arial" w:eastAsia="Arial" w:hAnsi="Arial"/>
          <w:sz w:val="18"/>
          <w:szCs w:val="18"/>
          <w:b w:val="1"/>
          <w:bCs w:val="1"/>
          <w:color w:val="auto"/>
        </w:rPr>
        <w:t xml:space="preserve"> </w:t>
      </w:r>
      <w:r>
        <w:rPr>
          <w:rFonts w:ascii="Arial" w:cs="Arial" w:eastAsia="Arial" w:hAnsi="Arial"/>
          <w:sz w:val="18"/>
          <w:szCs w:val="18"/>
          <w:color w:val="auto"/>
        </w:rPr>
        <w:t>offset by increases in compensation costs for our revenue-generating professionals and technology expenses. The increase in compensation costs was driven by an increase in headcount, as well as increases in performance bonus expense and signing, retention and other bonus expenses. Education operating margin increased due to the decrease in restructuring charges and revenue growth that outpaced the increase in compensation costs for our revenue-generating professionals.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right="80" w:hanging="328"/>
        <w:spacing w:after="0" w:line="257" w:lineRule="auto"/>
        <w:tabs>
          <w:tab w:leader="none" w:pos="669"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operating income decreased primarily due to increases in restructuring charges, contractor expenses,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costs for our support personnel, partially offset by the increase in revenues and a decrease in compensation costs for our revenue-generating professionals. The decrease in compensation costs for our revenue-generating professionals was primarily driven by a decrease in performance bonus expense, largely offset by the increase in headcount. Commercial operating margin decreased primarily due to the increases in restructuring charges and contractor expenses, as percentages of revenues; partially offset by the decrease in compensation costs for our revenue-generating professionals.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Cash and cash equivalents were $11.8 million, $20.8 million, and $67.2 million at December 31, 2022, 2021, and 2020, respectively. As of December 31, 2022, our primary sources of liquidity are cash on hand, cash flows from our U.S. operations, and borrowing capacity available under our credit facility.</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1320" w:type="dxa"/>
            <w:vAlign w:val="bottom"/>
            <w:tcBorders>
              <w:bottom w:val="single" w:sz="8" w:color="auto"/>
            </w:tcBorders>
          </w:tcPr>
          <w:p>
            <w:pPr>
              <w:spacing w:after="0"/>
              <w:rPr>
                <w:sz w:val="20"/>
                <w:szCs w:val="20"/>
                <w:color w:val="auto"/>
              </w:rPr>
            </w:pPr>
          </w:p>
        </w:tc>
      </w:tr>
      <w:tr>
        <w:trPr>
          <w:trHeight w:val="223"/>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Flows (in thousands):</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23"/>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136,738</w:t>
            </w:r>
          </w:p>
        </w:tc>
      </w:tr>
      <w:tr>
        <w:trPr>
          <w:trHeight w:val="230"/>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(20,143)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(42,034)</w:t>
            </w:r>
          </w:p>
        </w:tc>
      </w:tr>
      <w:tr>
        <w:trPr>
          <w:trHeight w:val="229"/>
        </w:trPr>
        <w:tc>
          <w:tcPr>
            <w:tcW w:w="5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(39,615)</w:t>
            </w:r>
          </w:p>
        </w:tc>
      </w:tr>
      <w:tr>
        <w:trPr>
          <w:trHeight w:val="229"/>
        </w:trPr>
        <w:tc>
          <w:tcPr>
            <w:tcW w:w="5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r>
      <w:tr>
        <w:trPr>
          <w:trHeight w:val="248"/>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55,573</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9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Our operating assets and liabilities consist primarily of receivables from billed and unbilled services, accounts payable and accrued expenses, accrued payroll and related benefits, operating lease obligations and deferred revenues. The volume of services rendered and the related billings and timing of collections on those billings, as well as payments of our accounts payable and salaries, bonuses, and related benefits to employees affect these account balances. Our purchase obligations primarily consist of payments for software and other information technology products to support our business and corporate infrastructure.</w:t>
      </w:r>
    </w:p>
    <w:p>
      <w:pPr>
        <w:spacing w:after="0" w:line="149"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Net cash provided by operating activities increased $ 67.4 million to $85.4 million in 2022 from $18.0 million in 2021. The increase in net cash provided by operating activities in 2022 compared to 2021 was primarily attributable to an increase in cash collections in 2022 compared to the prior year; partially offset by increases in payments for salaries and related expenses for our revenue-generating professionals, selling, general and administrative expenses and contractor expenses for 2022 compared to 2021 and an increase in the amount paid for annual performance bonuses in the first quarter of 2022 compared to the first quarter of 2021.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investing activities primarily consist of purchases of complementary businesses; purchases of property and equipment, primarily related to computers and related equipment for our employees and leasehold improvements and furniture and fixtures for office spaces; payments related to internally developed cloud-based software sold to our clients; and investments. Our investments include a convertible note investment in Shorelight Holdings, LLC, a preferred stock investment in Medically Home Group, Inc., and investments in life insurance policies that are used to fund our deferred compensation liability.</w:t>
      </w:r>
    </w:p>
    <w:p>
      <w:pPr>
        <w:spacing w:after="0" w:line="15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Net cash used in investing activities was $20.1 million for 2022. The use of cash in 2022 primarily consisted of $12.5 million for purchases of property and equipment, primarily related to purchases of computers and related equipment and leasehold improvements; $ 11.8 million for payments related to internally developed software; and $3.4 million for the purchases of businesses. These uses of cash for investing activities were partially offset by $ 4.8 million of cash received for the sale of our aircraft in the first quarter of 2022 and $3.4 million of cash received for distributions from our life insurance policies that are used to fund our deferred compensation liability.</w:t>
      </w:r>
    </w:p>
    <w:p>
      <w:pPr>
        <w:spacing w:after="0" w:line="15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Net cash used in investing activities was $ 20.1 million for 2021. The use of cash in 2021 primarily consisted of $44.8 million for the purchases of businesses; $ 10.9 million for purchases of property and equipment, primarily related to leasehold improvements, computers and related equipment and furniture and fixtures for certain office spaces; $4.9 million for payments related to internally developed software; and $1.2 million for contributions to our life insurance policies. These uses of cash from investing activities were partially offset by $41.3 million of cash received for the sale of the Life Sciences business in the fourth quarter of 2021.</w:t>
      </w:r>
    </w:p>
    <w:p>
      <w:pPr>
        <w:spacing w:after="0" w:line="15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estimate that cash utilized for purchases of property and equipment and software development in 2023 will total approximately $30 million to $35 million; primarily consisting of software development costs, information technology related equipment to support our corporate infrastructure, and leasehold improvements and furniture and fixtures for certain office locations.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93"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Our financing activities primarily consist of borrowings and repayments under our senior secured credit facility, share repurchases, shares redeemed for employee tax withholdings upon vesting of share-based compensation, and payments for contingent consideration liabilities related to business acquisitions. See "Financing Arrangements" below for additional information on our senior secured credit facility.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was $74.1 million in 2022. During 2022, we borrowed $314.0 million under our senior secured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facility primarily to fund our operations, including our annual performance bonus payment in the first quarter of 2022, and made repayments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our borrowings of $256.8 million. The repayments on our borrowings included the repayment of the outstanding principal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promissory note due 2024 of $2.7 million from the proceeds received for the sale of our aircraft. Additionally, during 2022, we repurchased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retired $121.3 million of our common stock under our share repurchase program discussed below, of which $1.1 million settled in the first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quarter of 2023, and settled $0.2 million of share repurchases that were accrued as of December 31, 2021. During 2022, we reacquired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 million of common stock as a result of tax withholdings upon vesting of share-based compensation. Additionally, we made payments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 million for debt issuance costs related to the Third Amended and Restated Credit Agreement executed in the fourth quarter of 2022.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also made deferred acquisition payments of $1.9 million to the sellers of certain businesses we acquired. These payments were primarily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result of achieving specified financial performance targets in accordance with the related purchase agreements.</w:t>
      </w:r>
    </w:p>
    <w:p>
      <w:pPr>
        <w:spacing w:after="0" w:line="171"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Net cash used in financing activities was $44.4 million in 2021. During 2021, we borrowed $235.0 million under our senior secured credit facility, primarily to fund our operations, including our annual performance bonus payment in the first quarter of 2021 and for the acquisitions completed in the fourth quarter of 2021. We made repayments on our credit facility of $205.0 million during 2021. Additionally, during 2021, we repurchased and retired $64.6 million of our common stock under our share repurchase program, and repurchased and retired</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$0.2 million of our common stock that was accrued as of December 31, 2021. We also reacquired $10.1 million of common stock as a result of tax withholdings upon vesting of share-based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8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 The share repurchase program has been subsequently extended and increased, most recently in the fourth quarter of 2022. The current authorization extends the share repurchase program through December 31, 2023 with a repurchase amount of $300 million, of which $108.9 million remains available as of December 31, 2022.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we had $290.0 million outstanding under our senior secured credit facility, as discussed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8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November 15, 2022, the Company entered into a Third Amended and Restated Credit Agreement (the “Amended Credit Agreement”). The Amended Credit Agreement amended and restated, in its entirety, the Second Amended and Restated Credit Agreement entered into as of March 31, 2015 (as amended and modified, the "Existing Credit Agreement"). The Amended Credit Agreement consists of a $600 million five-year senior secured revolving credit facility that becomes due and payable in full upon maturity on November 15, 2027. The Amended Credit Agreement provides the option to increase the revolving credit facility or establish term loan facilities in an aggregate amount of up to $250 million, subject to customary conditions and the approval of any lender whose commitment would be increased, resulting in a maximum available principal amount under the Amended Credit Agreement of $ 850 million. The initial borrowings under the Amended Credit Agreement were used to refinance borrowings outstanding under the Existing Credit Agreement, and future borrowings under the Amended Credit Agreement may be used for working capital, capital expenditures, share repurchases, permitted acquisitions, and other general corporate purposes.</w:t>
      </w:r>
    </w:p>
    <w:p>
      <w:pPr>
        <w:spacing w:after="0" w:line="15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Fees and interest on borrowings vary based on our Consolidated Leverage Ratio (as defined in the Amended Credit Agreement). At our option, borrowings under the Amended Credit Agreement will bear interest at one, three or six month Term SOFR or an alternate base rate, in each case plus the applicable margin. The applicable margin will fluctuate between 1.125% per annum and 1.875% per annum, in the case of Term SOFR borrowings, or between 0.125% per annum and 0.875% per annum, in the case of base rate loans, based upon our Consolidated Leverage Ratio at such time. Fees and interest on borrowings are paid on a monthly basis.</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and PNC Capital Markets, LLC, as Sustainability Structuring Agent, may amend the Amended Credit Agreement, with the consent of the Required Lenders (as defined in the Amended Credit Agreement), in order to incorporate specified key performance indicators with respect to certain environmental, social and governance targets of the Company. Upon the effectiveness of any such amendment, and based upon the performance of the Company against those key performance indicators, certain adjustments to the otherwise applicable rates for interest, commitment fees and letter of credit fees will be made. These adjustments will not exceed an increase or decrease of 0.01% in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aggregate for all key performance indicators in the case of the commitment fee rate or an increase or decrease of 0.05% in the aggregate for all key performance indicators in the case of the Term SOFR borrowings, base rate borrowings or letter of credit fee rate.</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spacing w:after="0" w:line="150"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1" w:lineRule="exact"/>
        <w:rPr>
          <w:sz w:val="20"/>
          <w:szCs w:val="20"/>
          <w:color w:val="auto"/>
        </w:rPr>
      </w:pPr>
    </w:p>
    <w:p>
      <w:pPr>
        <w:ind w:right="40" w:firstLine="8"/>
        <w:spacing w:after="0" w:line="251" w:lineRule="auto"/>
        <w:tabs>
          <w:tab w:leader="none" w:pos="2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December 31, 2022 and December 31, 2021, we were in compliance with these financial covenants. Our Consolidated Leverage Ratio as of December 31, 2022 was 1.92 to 1.00, compared to 1.73 to 1.00 as of December 31, 2021. Our Consolidated Interest Coverage Ratio as of December 31, 2022 was 14.04 to 1.00, compared to 18.43 to 1.00 as of December 31, 2021.</w:t>
      </w:r>
    </w:p>
    <w:p>
      <w:pPr>
        <w:spacing w:after="0" w:line="157" w:lineRule="exact"/>
        <w:rPr>
          <w:sz w:val="20"/>
          <w:szCs w:val="20"/>
          <w:color w:val="auto"/>
        </w:rPr>
      </w:pPr>
    </w:p>
    <w:p>
      <w:pPr>
        <w:jc w:val="both"/>
        <w:ind w:right="220"/>
        <w:spacing w:after="0" w:line="278" w:lineRule="auto"/>
        <w:rPr>
          <w:sz w:val="20"/>
          <w:szCs w:val="20"/>
          <w:color w:val="auto"/>
        </w:rPr>
      </w:pPr>
      <w:r>
        <w:rPr>
          <w:rFonts w:ascii="Arial" w:cs="Arial" w:eastAsia="Arial" w:hAnsi="Arial"/>
          <w:sz w:val="17"/>
          <w:szCs w:val="17"/>
          <w:color w:val="auto"/>
        </w:rPr>
        <w:t>The Amended Credit Agreement contains restricted payment provisions, including a potential limit on the amount of dividends we may pay. Pursuant to the terms of the Amended Credit Agreement, if our Consolidated Leverage Ratio is greater than 3.50, the amount of dividends and other Restricted Payments (as defined in the Amended Credit Agreement) we may pay is limited to an amount up to $50 million.</w:t>
      </w:r>
    </w:p>
    <w:p>
      <w:pPr>
        <w:spacing w:after="0" w:line="13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Principal borrowings outstanding under the Amended Credit Agreement at December 31, 2022 and December 31, 2021 totaled $290.0 million and $230.0 million, respectively. These borrowings carried a weighted average interest rate of 3.8% at December 31, 2022 and 2.7% at December 31, 2021 including the impact of the interest rate swaps described in Note 12 “Derivative Instruments and Hedging Activity" within the notes to the consolidated financial statements. The borrowing capacity under the revolving credit facility is reduced by any outstanding borrowings under the revolving credit facility and outstanding letters of credit. At both December 31, 2022 and 2021, we had outstanding letters of credit totaling $0.7 million, which are used as security deposits for our office facilities. As of December 31, 2022 and 2021, the unused borrowing capacity under the revolving credit facility was $309.3 million and $369.3 million, respectively.</w:t>
      </w:r>
    </w:p>
    <w:p>
      <w:pPr>
        <w:spacing w:after="0" w:line="15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For further information, see Note 7 “Financing Arrangements” within the notes to the consolidated financial statements. For a discussion of certain risks and uncertainties related to the Amended Credit Agreement, see Part I—Item 1A. “Risk Factors.”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Financing Needs</w:t>
      </w:r>
    </w:p>
    <w:p>
      <w:pPr>
        <w:spacing w:after="0" w:line="19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Our primary financing need is to fund our long-term growth. Our growth strategy is to expand our service offerings, which may require investments in new hires, acquisitions of complementary businesses, possible expansion into other geographic areas, and related capital expenditures.</w:t>
      </w:r>
    </w:p>
    <w:p>
      <w:pPr>
        <w:spacing w:after="0" w:line="148"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We believe our internally generated liquidity, together with our available cash and the borrowing capacity available under our revolving credit facility will be adequate to support our current financing needs and long-term growth strategy. Our ability to secure additional financing in the future, if needed, will depend on several factors, including our future profitability, the quality of our accounts receivable and unbilled services, our relative levels of debt and equity, and the overall condition of the credit markets.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Management’s discussion and analysis of financial condition and results of operations is based upon our consolidated financial statements, which have been prepared in accordance with accounting principles generally accepted in the United States of America (“GAAP”). Our significant accounting policies are discussed in Note 2 “Summary of Significant Accounting Policies” within the notes to our consolidated financial statements.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and estimates are those policies and estimates that we believe present the most complex or subjective measurements and have the most potential to impact our financial position and operating results. While all decisions regarding accounting policies and estimates are important, we believe that there are five accounting policies and estimates that could be considered critical: revenue recognition, allowances for doubtful accounts and unbilled services, business combinations, carrying values of goodwill and other intangible assets, and accounting for income taxes.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9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generate substantially all of our revenues from providing professional services to our clients. We also generate revenues from software licenses, software support and maintenance and subscriptions to our cloud-based analytic tools and solutions, speaking engagements, conferences, and publications.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revenue is generated under four types of billing arrangements: fixed-fee (including software license revenue); time-and-expense; performance-based; and software support, maintenance and subscriptions. Determining the method and amount of revenue to recognize requires us to make judgments and estimates. Specifically, multiple performance obligation arrangements require us to allocate the total transaction price to each performance obligation based on its relative standalone selling price, for which we rely on our overall pricing objectives, taking into consideration market conditions and other factors. Provisions are recorded for the estimated realization adjustments on all engagements, including engagements for which fees are subject to review by the bankruptcy courts. We continually evaluate our estimates of the provisions based on available information and experiences. Additionally, when accounting for fixed-fee and performance-based billing arrangements, we must make additional judgments and estimates as further described below.</w:t>
      </w:r>
    </w:p>
    <w:p>
      <w:pPr>
        <w:spacing w:after="0" w:line="15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fixed-fee billing arrangements for professional services,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to-date versus our estimates of the total services to be provided under the engagement. Estimates of total engagement revenues and cost of services are monitored regularly during the term of the engagement. Any increased or unexpected costs or unanticipated delays in connection with the performance of these engagements could make these contracts less profitable or unprofitable.</w:t>
      </w:r>
    </w:p>
    <w:p>
      <w:pPr>
        <w:spacing w:after="0" w:line="15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We recognize revenue under performance-based billing arrangements using the following steps: 1) estimate variable consideration using a probability-weighted assessment of the fees to be earned, 2) apply a constraint to the estimated variable consideration to limit the amount that could be reversed when the uncertainty is resolved (the “constraint”), and 3) recognize revenue of estimated variable consideration, net of the constraint, based on work completed to-date versus our estimates of the total services to be provided under the engagement. Our estimates are monitored throughout the life of each contract and are based on an assessment of our anticipated performance, historical experience, and other information available at the time. While we believe that the estimates and assumptions we used for revenue recognition for performance-based billing arrangements are reasonable, subsequent changes could materially impact our results of operations.</w:t>
      </w:r>
    </w:p>
    <w:p>
      <w:pPr>
        <w:spacing w:after="0" w:line="15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See Note 2 “Summary of Significant Accounting Policies” within the notes to the consolidated financial statements for additional information on our revenue recognition accounting policy.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19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maintain allowances for doubtful accounts and for services performed but not yet billed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 These 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record the provision for doubtful accounts and unbilled services as a reduction in revenue. To the extent we write-off accounts receivable due to a client’s inability to pay, the charge is recognized as a component of selling, general and administrative expenses.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use the acquisition method of accounting for business combinations</w:t>
      </w:r>
      <w:r>
        <w:rPr>
          <w:rFonts w:ascii="Arial" w:cs="Arial" w:eastAsia="Arial" w:hAnsi="Arial"/>
          <w:sz w:val="18"/>
          <w:szCs w:val="18"/>
          <w:i w:val="1"/>
          <w:iCs w:val="1"/>
          <w:color w:val="auto"/>
        </w:rPr>
        <w:t>.</w:t>
      </w:r>
      <w:r>
        <w:rPr>
          <w:rFonts w:ascii="Arial" w:cs="Arial" w:eastAsia="Arial" w:hAnsi="Arial"/>
          <w:sz w:val="18"/>
          <w:szCs w:val="18"/>
          <w:color w:val="auto"/>
        </w:rPr>
        <w:t xml:space="preserve"> The assets acquired and liabilities assumed in a business combination, including identifiable intangible assets, are recorded at their estimated fair values as of the acquisition date, with the exception of contract assets and liabilities which are recognized and measured in accordance with our revenue recognition accounting policy described in Note 2 "Summary of Significant Accounting Policies" within the notes to the consolidated financial statements</w:t>
      </w:r>
      <w:r>
        <w:rPr>
          <w:rFonts w:ascii="Arial" w:cs="Arial" w:eastAsia="Arial" w:hAnsi="Arial"/>
          <w:sz w:val="18"/>
          <w:szCs w:val="18"/>
          <w:i w:val="1"/>
          <w:iCs w:val="1"/>
          <w:color w:val="auto"/>
        </w:rPr>
        <w:t>.</w:t>
      </w:r>
      <w:r>
        <w:rPr>
          <w:rFonts w:ascii="Arial" w:cs="Arial" w:eastAsia="Arial" w:hAnsi="Arial"/>
          <w:sz w:val="18"/>
          <w:szCs w:val="18"/>
          <w:color w:val="auto"/>
        </w:rPr>
        <w:t xml:space="preserve"> Goodwill is recorded as the excess of the fair value of consideration transferred, including any contingent consideration, over the net value of the assets acquired and liabilities assumed. We base the fair values of identifiable intangible assets on detailed valuations that require management to make significant judgments, estimates, and assumptions, such as the expected future cash flows to be derived from the intangible assets, discount rates that reflect the risk factors associated with future cash flows, and estimates of useful lives.</w:t>
      </w:r>
    </w:p>
    <w:p>
      <w:pPr>
        <w:spacing w:after="0" w:line="149"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We measure and recognize contingent consideration at fair value as of the acquisition date. We estimate the fair value of contingent consideration based on either a probability-weighted assessment of the specific financial performance targets being achieved or a Monte Carlo simulation model, as appropriate. These fair value measurements require the use of significant judgments, estimates, and assumptions, including financial performance projections and discount rates. The fair value of the contingent consideration is reassessed quarterly based on assumptions used in our latest financial projections and input provided by practice leaders and management, with any change in the fair value estimate recorded in earnings in that period. Increases or decreases in the fair value of contingent consideration liabilities resulting from changes in the estimates or assumptions could materially impact the financial statements.</w:t>
      </w:r>
    </w:p>
    <w:p>
      <w:pPr>
        <w:spacing w:after="0" w:line="153" w:lineRule="exact"/>
        <w:rPr>
          <w:sz w:val="20"/>
          <w:szCs w:val="20"/>
          <w:color w:val="auto"/>
        </w:rPr>
      </w:pPr>
    </w:p>
    <w:p>
      <w:pPr>
        <w:jc w:val="both"/>
        <w:ind w:right="700"/>
        <w:spacing w:after="0" w:line="256" w:lineRule="auto"/>
        <w:rPr>
          <w:sz w:val="20"/>
          <w:szCs w:val="20"/>
          <w:color w:val="auto"/>
        </w:rPr>
      </w:pPr>
      <w:r>
        <w:rPr>
          <w:rFonts w:ascii="Arial" w:cs="Arial" w:eastAsia="Arial" w:hAnsi="Arial"/>
          <w:sz w:val="18"/>
          <w:szCs w:val="18"/>
          <w:color w:val="auto"/>
        </w:rPr>
        <w:t>See Note 3 “Acquisitions and Divestitures” within the notes to our consolidated financial statements for additional information on our acquisitions and Note 13 “Fair Value of Financial Instruments” within the notes to our consolidated financial statements for additional information on our contingent consideration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Values of Goodwill and Other Intangible Assets</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test goodwill for impairment, at the reporting unit level, annually and whenever events or circumstances make it more likely than not that an impairment may have occurred. We perform our annual goodwill impairment test as of November 30 and monitor for interim triggering events on an ongoing basis.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As of December 31, 2022, we have three reporting units: Healthcare, Education, and Commercial.</w:t>
      </w:r>
    </w:p>
    <w:p>
      <w:pPr>
        <w:spacing w:after="0" w:line="15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Under GAAP, we have the option to first assess qualitative factors to determine whether the existence of current events or circumstances would lead to a determination that it is more likely than not that the fair value of one of our reporting units is greater than its carrying value. If we determine it is more likely than not that the fair value of a reporting unit is greater than its carrying value, no further testing is necessary. However, if we conclude otherwise, then we are required to perform a quantitative impairment test by calculating the fair value of the reporting unit and comparing the fair value with the carrying value of the reporting unit. If the fair value of the reporting unit is less than its carrying value, an impairment charge is recorded in an amount equal to that difference with the loss not to exceed the total amount of goodwill allocated to the reporting unit.</w:t>
      </w:r>
    </w:p>
    <w:p>
      <w:pPr>
        <w:spacing w:after="0" w:line="15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For the goodwill reallocation and impairment tests performed in 2022, we determined the fair value of our reporting units using the income approach. For a company such as ours, the income approach will generally provide the most reliable indication of fair value because the value of such companies is dependent on their ability to generate earnings. We utilized a discounted cash flow analysis, which involves estimating the expected after-tax cash flows that will be generated by each reporting unit and then discounting those cash flows to present value, reflecting the relevant risks associated with each reporting unit and the time value of money. This approach requires the use of significant estimates and assumptions, including forecasted revenue growth rates, forecasted EBITDA margins, and discount rates. Our forecasts are based on historical experience, current backlog, expected market demand, and other industry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the goodwill impairment tests performed during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2022 Goodwill Reallocation and Goodwill Impairment Test</w:t>
      </w:r>
    </w:p>
    <w:p>
      <w:pPr>
        <w:spacing w:after="0" w:line="189"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Effective January 1, 2022, we modified our operating model to expand and more deeply integrate our industry expertise with our digital, strategic and financial advisory capabilities. 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 energy and utilities. In the new reporting structure, each segment includes all revenue and costs associated with engagements delivered in the respective segments' industries. The new Healthcare and Education segments include some revenue and costs historically reported in</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Business Advisory segment and the Healthcare segment includes some revenue and costs historically reported in the Education segment.</w:t>
      </w:r>
    </w:p>
    <w:p>
      <w:pPr>
        <w:spacing w:after="0" w:line="14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three reportable segments of Healthcare, Education and Commercial are also our reporting units for goodwill impairment testing purposes. As a result of the reorganization, we reallocated the goodwill balances of our historical reporting units to our new reporting units based on the relative estimated fair values of each component of the historical reporting units to be allocated to the new reporting units. Additionally, we performed a goodwill impairment test on the goodwill balances of each of our reporting units as of January 1, 2022 by comparing the fair value of the reporting unit to its carrying value, including the reallocated goodwill. Based on the results of the goodwill impairment test, we determined the fair values of the Healthcare, Education, and Commercial reporting units exceeded their carrying values by 37%, 199%, and 105%, respectively. As such, we concluded that there was no indication of goodwill impairment for all three reporting units as of January 1, 2022. Further, we determined that neither a 100 basis point decrease in the estimated long-term growth rate nor a 100 basis point increase in the discount rate for each reporting unit would have resulted in an indication of goodwill impairment for any of the reporting units.</w:t>
      </w:r>
    </w:p>
    <w:p>
      <w:pPr>
        <w:spacing w:after="0" w:line="15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relied on the income approach to estimate the fair value of the reporting units for both the goodwill reallocation and the goodwill impairment test. The income approach utilized a discounted cash flow analysis, which involved estimating the expected after-tax cash flows that will be generated by each business and then discounting those cash flows to present value, reflecting the relevant risks associated with each reporting unit and the time value of money. This approach requires the use of significant estimates and assumptions, including forecasted revenue growth rates, forecasted EBITDA margins, and discount rates that reflect the risk inherent in the future cash flows. In estimating future cash flows, we relied on internally generated ten-year forecasts. Our forecasts are based on historical experience, current backlog, expected market demand, and other industry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Annual Goodwill Impairment Analysis</w:t>
      </w:r>
    </w:p>
    <w:p>
      <w:pPr>
        <w:spacing w:after="0" w:line="18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Pursuant to our policy, we performed our annual goodwill impairment test as of November 30, 2022 for our three reporting units: Healthcare, Education, and Commercial. We performed a qualitative assessment over all reporting units to determine if it was more likely than not the respective fair values of these reporting units were less than their carrying amounts, including goodwill.</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our qualitative assessment, we considered the most recent quantitative analysis performed for each reporting unit, which was as of January 1, 2022, including the key assumptions used within that analysis, the indicated fair values, and the amount by which those fair values exceeded their carrying amounts. One of the key assumptions used within the prior quantitative analysis was our internal financial projections; therefore, we considered the actual performance of each reporting unit during 2022 compared to the internal financial projections used, as well as specific outlooks for each reporting unit based on our most recent internal financial projections. We also reviewed the current carrying value of each reporting unit in comparison to the carrying values as of the prior quantitative analysis. In addition, we considered various factors, including macroeconomic conditions, relevant industry and market trends for each reporting unit, and other entity-specific events, that could indicate a potential change in the fair value of our reporting units or the composition of their carrying values. Based on our assessments, we determined that it was more likely than not that the fair values for each of our reporting units exceeded their respective carrying amounts. As such, the goodwill for our reporting units was not considered impaired as of November 30, 2022, and a quantitative goodwill impairment analysis was not necessary.</w:t>
      </w:r>
    </w:p>
    <w:p>
      <w:pPr>
        <w:spacing w:after="0" w:line="15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Determining the fair value of any reporting unit requires us to make significant judgments, estimates, and assumptions. While we believe that the estimates and assumptions underlying our valuation methodology are reasonable, these estimates and assumptions could have a significant impact on whether or not an impairment charge is recognized and also the magnitude of such charge. The results of an impairment analysis are as of a point in time. There is no assurance that the actual future earnings or cash flows of our reporting units will be consistent with our projections. We will continue to monitor any changes to our assumptions and will evaluate goodwill as deemed warranted during future periods. Any significant decline in our operations compared to our internal forecasts could result in additional goodwill impairment charges, which could be material.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goodwill for each of our reporting units as of December 31, 2022 is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Reporting Unit</w:t>
            </w:r>
          </w:p>
        </w:tc>
        <w:tc>
          <w:tcPr>
            <w:tcW w:w="16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150"/>
              <w:spacing w:after="0"/>
              <w:rPr>
                <w:sz w:val="20"/>
                <w:szCs w:val="20"/>
                <w:color w:val="auto"/>
              </w:rPr>
            </w:pPr>
            <w:r>
              <w:rPr>
                <w:rFonts w:ascii="Arial" w:cs="Arial" w:eastAsia="Arial" w:hAnsi="Arial"/>
                <w:sz w:val="18"/>
                <w:szCs w:val="18"/>
                <w:b w:val="1"/>
                <w:bCs w:val="1"/>
                <w:color w:val="auto"/>
              </w:rPr>
              <w:t>Carrying Value</w:t>
            </w:r>
          </w:p>
        </w:tc>
        <w:tc>
          <w:tcPr>
            <w:tcW w:w="0" w:type="dxa"/>
            <w:vAlign w:val="bottom"/>
          </w:tcPr>
          <w:p>
            <w:pPr>
              <w:spacing w:after="0"/>
              <w:rPr>
                <w:sz w:val="1"/>
                <w:szCs w:val="1"/>
                <w:color w:val="auto"/>
              </w:rPr>
            </w:pPr>
          </w:p>
        </w:tc>
      </w:tr>
      <w:tr>
        <w:trPr>
          <w:trHeight w:val="243"/>
        </w:trPr>
        <w:tc>
          <w:tcPr>
            <w:tcW w:w="932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of Goodwill</w:t>
            </w:r>
          </w:p>
        </w:tc>
        <w:tc>
          <w:tcPr>
            <w:tcW w:w="0" w:type="dxa"/>
            <w:vAlign w:val="bottom"/>
          </w:tcPr>
          <w:p>
            <w:pPr>
              <w:spacing w:after="0"/>
              <w:rPr>
                <w:sz w:val="1"/>
                <w:szCs w:val="1"/>
                <w:color w:val="auto"/>
              </w:rPr>
            </w:pPr>
          </w:p>
        </w:tc>
      </w:tr>
      <w:tr>
        <w:trPr>
          <w:trHeight w:val="223"/>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454,214</w:t>
            </w:r>
          </w:p>
        </w:tc>
        <w:tc>
          <w:tcPr>
            <w:tcW w:w="0" w:type="dxa"/>
            <w:vAlign w:val="bottom"/>
          </w:tcPr>
          <w:p>
            <w:pPr>
              <w:spacing w:after="0"/>
              <w:rPr>
                <w:sz w:val="1"/>
                <w:szCs w:val="1"/>
                <w:color w:val="auto"/>
              </w:rPr>
            </w:pPr>
          </w:p>
        </w:tc>
      </w:tr>
      <w:tr>
        <w:trPr>
          <w:trHeight w:val="229"/>
        </w:trPr>
        <w:tc>
          <w:tcPr>
            <w:tcW w:w="9480" w:type="dxa"/>
            <w:vAlign w:val="bottom"/>
            <w:gridSpan w:val="2"/>
          </w:tcPr>
          <w:p>
            <w:pPr>
              <w:ind w:left="20"/>
              <w:spacing w:after="0"/>
              <w:rPr>
                <w:sz w:val="20"/>
                <w:szCs w:val="20"/>
                <w:color w:val="auto"/>
              </w:rPr>
            </w:pPr>
            <w:r>
              <w:rPr>
                <w:rFonts w:ascii="Arial" w:cs="Arial" w:eastAsia="Arial" w:hAnsi="Arial"/>
                <w:sz w:val="18"/>
                <w:szCs w:val="18"/>
                <w:color w:val="auto"/>
              </w:rPr>
              <w:t>Education</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122,235</w:t>
            </w:r>
          </w:p>
        </w:tc>
        <w:tc>
          <w:tcPr>
            <w:tcW w:w="0" w:type="dxa"/>
            <w:vAlign w:val="bottom"/>
          </w:tcPr>
          <w:p>
            <w:pPr>
              <w:spacing w:after="0"/>
              <w:rPr>
                <w:sz w:val="1"/>
                <w:szCs w:val="1"/>
                <w:color w:val="auto"/>
              </w:rPr>
            </w:pPr>
          </w:p>
        </w:tc>
      </w:tr>
      <w:tr>
        <w:trPr>
          <w:trHeight w:val="230"/>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48,517</w:t>
            </w:r>
          </w:p>
        </w:tc>
        <w:tc>
          <w:tcPr>
            <w:tcW w:w="0" w:type="dxa"/>
            <w:vAlign w:val="bottom"/>
          </w:tcPr>
          <w:p>
            <w:pPr>
              <w:spacing w:after="0"/>
              <w:rPr>
                <w:sz w:val="1"/>
                <w:szCs w:val="1"/>
                <w:color w:val="auto"/>
              </w:rPr>
            </w:pPr>
          </w:p>
        </w:tc>
      </w:tr>
      <w:tr>
        <w:trPr>
          <w:trHeight w:val="223"/>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624,966</w:t>
            </w:r>
          </w:p>
        </w:tc>
        <w:tc>
          <w:tcPr>
            <w:tcW w:w="0" w:type="dxa"/>
            <w:vAlign w:val="bottom"/>
          </w:tcPr>
          <w:p>
            <w:pPr>
              <w:spacing w:after="0"/>
              <w:rPr>
                <w:sz w:val="1"/>
                <w:szCs w:val="1"/>
                <w:color w:val="auto"/>
              </w:rPr>
            </w:pPr>
          </w:p>
        </w:tc>
      </w:tr>
      <w:tr>
        <w:trPr>
          <w:trHeight w:val="21"/>
        </w:trPr>
        <w:tc>
          <w:tcPr>
            <w:tcW w:w="9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Intangible assets represent purchased assets that lack physical substance but can be distinguished from goodwill. Our intangible assets, net of accumulated amortization, totaled $23.4 million at December 31, 2022 and primarily consist of customer relationships, technology and software, trade names, and non-competition agreements, all of which were acquired through business combinations. We evaluate our</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intangible assets for impairment whenever events or changes in circumstances indicate that the carrying amount of the assets may not be recoverable. No impairment charges for intangible assets were recorded in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income tax expense, deferred tax assets and liabilities, and reserves for unrecognized tax benefits reflect management’s best assessment of estimated future taxes to be paid. In determining our provision for income taxes on an interim basis, we estimate our annual effective tax rate based on information available at each interim period. Changes in applicable U.S. state, federal or foreign tax laws and regulations, or their interpretation and application, could materially affect our tax expense.</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Deferred tax assets and liabilities are recorded for future tax consequences attributable to temporary differences between the financial statement carrying amounts of existing assets and liabilities and their respective tax bases. These deferred tax assets and liabilities are measured using enacted tax rates expected to apply to taxable income in the years in which those temporary differences are expected to be recovered or settled. Deferred tax assets are reduced by a valuation allowance when, in management’s opinion, it is more likely than not that some portion or the entire deferred tax asset will not be realized. Factors considered in making this determination include the period of expiration of the tax asset, planned use of the tax asset, tax planning strategies and historical and projected taxable income as well as tax liabilities for the tax jurisdiction in which the tax asset is located. Valuation allowances will be subject to change in each future reporting period as a result of changes in one or more of these factors.</w:t>
      </w:r>
    </w:p>
    <w:p>
      <w:pPr>
        <w:spacing w:after="0" w:line="15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tax positions are subject to income tax audits by federal, state, local, and foreign tax authorities. A tax benefit from an uncertain position may be recognized in the financial statements only if it is more likely than not that the position is sustainable, based on its technical merits. We measure the tax benefit recognized as the largest amount of benefit which is more likely than not to be realized upon settlement with the taxing authority. The estimate of the potential outcome of any uncertain tax issue is subject to management’s assessment of relevant risks, facts and circumstances existing at that time. We believe that positions taken on our tax returns are fully supported. However, final determinations of prior year tax positions upon settlement with the taxing authority could be materially different from estimates. The outcome of these final determinations could have a material impact on our provision for taxes, net income, or cash flows in the period in which that determination is made.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9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Refer to Note 2 “Summary of Significant Accounting Policies" within the notes to the consolidated financial statements for information on new accounting pronouncements.</w:t>
      </w: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9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are exposed to market risks primarily from changes in interest rates and foreign currency exchange rates and changes in the market value of our investments. We use certain derivative instruments to hedge a portion of the interest rate and foreign currency exchange rate risks.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exposure to changes in interest rates associated with borrowings under our senior secured credit facility, which has variable interest rates tied to Term SOFR or an alternate base rate, at our option. At December 31, 2022, we had borrowings outstanding under the credit facility totaling $290.0 million that carried a weighted average interest rate of 3.8% including the impact of the interest rate swaps described below. A hypothetical 100 basis point change in the interest rate as of December 31, 2022 would have a $0.9 million effect on our pretax income on an annualized basis, including the effect of the interest rate swaps. At December 31, 2021, we had borrowings outstanding under the credit facility totaling $230.0 million that carried a weighted average interest rate of 2.7%, including the impact of the interest rate swaps. A hypothetical 100 basis point change in the interest rate would have had a $0.3 million effect on our full year pretax income, including the effect of the interest rate swaps and our borrowings outstanding as of December 31, 2021.</w:t>
      </w:r>
    </w:p>
    <w:p>
      <w:pPr>
        <w:spacing w:after="0" w:line="15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enter into forward interest rate swap agreements to hedge against the interest rate risks of our variable-rate borrowings. Under the terms of the interest rate swap agreement, we receive from the counterparty interest on the notional amount based on one month Term SOFR and we pay to the counterparty a stated, fixed rate. As of December 31, 2022 and December 31, 2021, the aggregate notional amount of our forward interest rate swap agreements was $200.0 million. The outstanding interest rate swap agreements as of December 31, 2022 are scheduled to mature on a staggered basis through August 31, 2027.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93" w:lineRule="exact"/>
        <w:rPr>
          <w:sz w:val="20"/>
          <w:szCs w:val="20"/>
          <w:color w:val="auto"/>
        </w:rPr>
      </w:pPr>
    </w:p>
    <w:p>
      <w:pPr>
        <w:jc w:val="both"/>
        <w:ind w:right="120"/>
        <w:spacing w:after="0" w:line="278" w:lineRule="auto"/>
        <w:rPr>
          <w:sz w:val="20"/>
          <w:szCs w:val="20"/>
          <w:color w:val="auto"/>
        </w:rPr>
      </w:pPr>
      <w:r>
        <w:rPr>
          <w:rFonts w:ascii="Arial" w:cs="Arial" w:eastAsia="Arial" w:hAnsi="Arial"/>
          <w:sz w:val="17"/>
          <w:szCs w:val="17"/>
          <w:color w:val="auto"/>
        </w:rPr>
        <w:t>We have exposure to changes in foreign currency exchange rates between the U.S. Dollar (USD) and the Indian Rupee (INR) related to our operations in India. We hedge a portion of our cash flow exposure related to our INR-denominated intercompany expenses by entering into non-deliverable foreign exchange forward contracts. These foreign exchange forward contracts have an aggregate notional amount of INR</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657.9 million, or $8.0 million based on the exchange rate in effect as of December 31, 2022, and are scheduled to mature monthly through September 2023.</w:t>
      </w:r>
    </w:p>
    <w:p>
      <w:pPr>
        <w:spacing w:after="0" w:line="14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use a sensitivity analysis to determine the effects that market foreign currency exchange rate fluctuations may have on the fair value of our foreign currency exchange rate hedge portfolio. The sensitivity of the hedge portfolio is computed based on the market value of future cash flows as affected by changes in exchange rates. This sensitivity analysis represents the hypothetical changes in value of the hedge position and does not reflect the offsetting gain or loss on the underlying exposure. A hypothetical 100 basis point change in the foreign currency exchange rate between the USD and INR would have an immaterial impact on the fair value of our hedge instruments as of December 31, 2022.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a 1.69% convertible debt investment in Shorelight Holdings, LLC, a privately-held company, which we account for as an available-for-sale debt security. As such, the investment is carried at fair value with unrealized holding gains and losses excluded from earnings and reported in other comprehensive income. As of December 31, 2022, the fair value of the investment was $ 57.6 million, with a total cost basis of $40.9 million. At December 31, 2021, the fair value of the investment was $65.9 million, with a total cost basis of $40.9 million.</w:t>
      </w:r>
    </w:p>
    <w:p>
      <w:pPr>
        <w:spacing w:after="0" w:line="15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have a preferred stock investment in Medically Home Group, Inc. ("Medically Home"), a privately-held company, which we account for as an equity security without a readily determinable fair value using the measurement alternative. As such, the investment is carried at cost minus impairment, if any, plus or minus changes resulting from observable price changes in orderly transactions for the identical or similar investment. Any unrealized holding gains and losses resulting from observable price changes are recorded in our consolidated statement of operations. As of December 31, 2022, the carrying value of the investment was $ 33.6 million, with a total cost basis of $5.0 million. As of December 31, 2021, the carrying value of the investment was $ 6.7 million, with a total cost basis of $5.0 million. During the first quarter of 2022, we recognized an unrealized gain of $27.0 million on our preferred stock investment resulting from an observable price change of preferred stock with similar rights and preferences to our preferred stock investment issued by Medically Home. Following our purchase, we have not identified any impairment of our investment.</w:t>
      </w:r>
    </w:p>
    <w:p>
      <w:pPr>
        <w:spacing w:after="0" w:line="14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 Refer to Note 12 “Derivative Instruments and Hedging Activity” within the notes to our consolidated financial statements for additional information on our derivative instruments.</w:t>
      </w:r>
    </w:p>
    <w:p>
      <w:pPr>
        <w:spacing w:after="0" w:line="183"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Financial Statements and supplementary data begin on page F-1 of this Annual Report on Form 10-K.</w:t>
      </w:r>
    </w:p>
    <w:p>
      <w:pPr>
        <w:spacing w:after="0" w:line="19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3"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December 31, 2022. Based on this evaluation, our Chief Executive Officer and Chief Financial Officer have concluded that, as of December 31, 2022,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for the Company. Internal control over financial reporting is a process designed under the supervision of the Company’s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51" w:lineRule="exact"/>
        <w:rPr>
          <w:sz w:val="20"/>
          <w:szCs w:val="20"/>
          <w:color w:val="auto"/>
        </w:rPr>
      </w:pPr>
    </w:p>
    <w:p>
      <w:pPr>
        <w:ind w:left="660" w:right="240" w:hanging="328"/>
        <w:spacing w:after="0" w:line="261" w:lineRule="auto"/>
        <w:tabs>
          <w:tab w:leader="none" w:pos="68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right="160" w:hanging="328"/>
        <w:spacing w:after="0" w:line="256" w:lineRule="auto"/>
        <w:tabs>
          <w:tab w:leader="none" w:pos="684"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147" w:lineRule="exact"/>
        <w:rPr>
          <w:rFonts w:ascii="Arial" w:cs="Arial" w:eastAsia="Arial" w:hAnsi="Arial"/>
          <w:sz w:val="18"/>
          <w:szCs w:val="18"/>
          <w:color w:val="auto"/>
        </w:rPr>
      </w:pPr>
    </w:p>
    <w:p>
      <w:pPr>
        <w:ind w:left="660" w:right="640" w:hanging="328"/>
        <w:spacing w:after="0" w:line="261" w:lineRule="auto"/>
        <w:tabs>
          <w:tab w:leader="none" w:pos="697"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In connection with the preparation of this report, our management, under the supervision and with the participation of our Chief Executive Officer and Chief Financial Officer, conducted an evaluation of the effectiveness of the internal control over financial reporting as of December 31, 2022 using the criteria set forth by the Committee of Sponsoring Organizations of the Treadway Commission (“COSO”) in </w:t>
      </w:r>
      <w:r>
        <w:rPr>
          <w:rFonts w:ascii="Arial" w:cs="Arial" w:eastAsia="Arial" w:hAnsi="Arial"/>
          <w:sz w:val="18"/>
          <w:szCs w:val="18"/>
          <w:i w:val="1"/>
          <w:iCs w:val="1"/>
          <w:color w:val="auto"/>
        </w:rPr>
        <w:t xml:space="preserve">Internal Control – Integrated Framework </w:t>
      </w:r>
      <w:r>
        <w:rPr>
          <w:rFonts w:ascii="Arial" w:cs="Arial" w:eastAsia="Arial" w:hAnsi="Arial"/>
          <w:sz w:val="18"/>
          <w:szCs w:val="18"/>
          <w:color w:val="auto"/>
        </w:rPr>
        <w:t>(2013)</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that evaluation, management concluded that our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was effective as of December 31, 2022.</w:t>
      </w:r>
    </w:p>
    <w:p>
      <w:pPr>
        <w:spacing w:after="0" w:line="151"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The effectiveness of the Company’s internal control over financial reporting as of December 31, 2022 has been audited by PricewaterhouseCoopers LLP, an independent registered public accounting firm, as stated in their report appearing on page F-2 of this Annual Report on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December 31, 2022 that has materially affected, or is reasonably likely to materially affect, our internal control over financial reporting.</w:t>
      </w:r>
    </w:p>
    <w:p>
      <w:pPr>
        <w:spacing w:after="0" w:line="166"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5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19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information required by this item is incorporated by reference from portions of our definitive proxy statement for our annual meeting of stockholders to be filed with the SEC pursuant to Regulation 14A by May 1, 2023 (the “Proxy Statement”) under “Nominees to Board of Directors,” “Directors Not Standing For Election” and “Executive Officers.”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Exchange Act</w:t>
      </w:r>
    </w:p>
    <w:p>
      <w:pPr>
        <w:spacing w:after="0" w:line="19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“Delinquent Section 16(a) Reports.”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adopted a Code of Business Conduct and Ethics (the “Code”) that is applicable to all of our employees, officers and directors. The Code is available on the Corporate Governance page of our website at ir.huronconsultinggroup.com. If we make any amendments to or grant any waivers from the Code which are required to be disclosed pursuant to the Securities Exchange Act of 1934, we will make such disclosures on our website.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93"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“Board Meetings and Committees.”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a portion of the Proxy Statement under “Executive Compensation.”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“Compensation Committee Interlocks and Insider Participation.”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“Compensation Committee Report.”</w:t>
      </w:r>
    </w:p>
    <w:p>
      <w:pPr>
        <w:spacing w:after="0" w:line="162" w:lineRule="exact"/>
        <w:rPr>
          <w:sz w:val="20"/>
          <w:szCs w:val="20"/>
          <w:color w:val="auto"/>
        </w:rPr>
      </w:pPr>
    </w:p>
    <w:p>
      <w:pPr>
        <w:ind w:left="1020" w:right="340" w:hanging="984"/>
        <w:spacing w:after="0"/>
        <w:tabs>
          <w:tab w:leader="none" w:pos="10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with respect to equity compensation plans approved by shareholders as of December 31, 2022.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equity compensation plans that have not been approved by shareholders.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Number of Shares</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rPr>
              <w:t>Number 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8"/>
              </w:rPr>
              <w:t>Remaining Available</w:t>
            </w: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to be Issued Upon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Weighted Average</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for Future Issuance</w:t>
            </w:r>
          </w:p>
        </w:tc>
      </w:tr>
      <w:tr>
        <w:trPr>
          <w:trHeight w:val="214"/>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Exercise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Exercise Price of</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(excluding shares in</w:t>
            </w:r>
          </w:p>
        </w:tc>
      </w:tr>
      <w:tr>
        <w:trPr>
          <w:trHeight w:val="228"/>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rPr>
              <w:t>Outstanding Options</w:t>
            </w:r>
          </w:p>
        </w:tc>
        <w:tc>
          <w:tcPr>
            <w:tcW w:w="120" w:type="dxa"/>
            <w:vAlign w:val="bottom"/>
          </w:tcPr>
          <w:p>
            <w:pPr>
              <w:spacing w:after="0"/>
              <w:rPr>
                <w:sz w:val="19"/>
                <w:szCs w:val="19"/>
                <w:color w:val="auto"/>
              </w:rPr>
            </w:pPr>
          </w:p>
        </w:tc>
        <w:tc>
          <w:tcPr>
            <w:tcW w:w="2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Outstanding Options</w:t>
            </w:r>
          </w:p>
        </w:tc>
        <w:tc>
          <w:tcPr>
            <w:tcW w:w="1940" w:type="dxa"/>
            <w:vAlign w:val="bottom"/>
          </w:tcPr>
          <w:p>
            <w:pPr>
              <w:jc w:val="center"/>
              <w:spacing w:after="0" w:line="228" w:lineRule="exact"/>
              <w:rPr>
                <w:sz w:val="20"/>
                <w:szCs w:val="20"/>
                <w:color w:val="auto"/>
              </w:rPr>
            </w:pPr>
            <w:r>
              <w:rPr>
                <w:rFonts w:ascii="Arial" w:cs="Arial" w:eastAsia="Arial" w:hAnsi="Arial"/>
                <w:sz w:val="18"/>
                <w:szCs w:val="18"/>
                <w:b w:val="1"/>
                <w:bCs w:val="1"/>
                <w:color w:val="auto"/>
                <w:w w:val="95"/>
              </w:rPr>
              <w:t>1</w:t>
            </w:r>
            <w:r>
              <w:rPr>
                <w:rFonts w:ascii="Arial" w:cs="Arial" w:eastAsia="Arial" w:hAnsi="Arial"/>
                <w:sz w:val="23"/>
                <w:szCs w:val="23"/>
                <w:b w:val="1"/>
                <w:bCs w:val="1"/>
                <w:color w:val="auto"/>
                <w:w w:val="95"/>
                <w:vertAlign w:val="superscript"/>
              </w:rPr>
              <w:t>st</w:t>
            </w:r>
            <w:r>
              <w:rPr>
                <w:rFonts w:ascii="Arial" w:cs="Arial" w:eastAsia="Arial" w:hAnsi="Arial"/>
                <w:sz w:val="18"/>
                <w:szCs w:val="18"/>
                <w:b w:val="1"/>
                <w:bCs w:val="1"/>
                <w:color w:val="auto"/>
                <w:w w:val="95"/>
              </w:rPr>
              <w:t xml:space="preserve"> column)</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shareholders:</w:t>
            </w: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ind w:left="340"/>
              <w:spacing w:after="0" w:line="230" w:lineRule="exact"/>
              <w:rPr>
                <w:sz w:val="20"/>
                <w:szCs w:val="20"/>
                <w:color w:val="auto"/>
              </w:rPr>
            </w:pPr>
            <w:r>
              <w:rPr>
                <w:rFonts w:ascii="Arial" w:cs="Arial" w:eastAsia="Arial" w:hAnsi="Arial"/>
                <w:sz w:val="18"/>
                <w:szCs w:val="18"/>
                <w:color w:val="auto"/>
              </w:rPr>
              <w:t xml:space="preserve">2012 Omnibus Incentive Plan </w:t>
            </w:r>
            <w:r>
              <w:rPr>
                <w:rFonts w:ascii="Arial" w:cs="Arial" w:eastAsia="Arial" w:hAnsi="Arial"/>
                <w:sz w:val="23"/>
                <w:szCs w:val="23"/>
                <w:color w:val="auto"/>
                <w:vertAlign w:val="superscript"/>
              </w:rPr>
              <w:t>(1)</w:t>
            </w:r>
          </w:p>
        </w:tc>
        <w:tc>
          <w:tcPr>
            <w:tcW w:w="1920" w:type="dxa"/>
            <w:vAlign w:val="bottom"/>
          </w:tcPr>
          <w:p>
            <w:pPr>
              <w:jc w:val="right"/>
              <w:spacing w:after="0"/>
              <w:rPr>
                <w:sz w:val="20"/>
                <w:szCs w:val="20"/>
                <w:color w:val="auto"/>
              </w:rPr>
            </w:pPr>
            <w:r>
              <w:rPr>
                <w:rFonts w:ascii="Arial" w:cs="Arial" w:eastAsia="Arial" w:hAnsi="Arial"/>
                <w:sz w:val="18"/>
                <w:szCs w:val="18"/>
                <w:color w:val="auto"/>
              </w:rPr>
              <w:t>227,116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48.89</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590,383</w:t>
            </w:r>
          </w:p>
        </w:tc>
      </w:tr>
      <w:tr>
        <w:trPr>
          <w:trHeight w:val="229"/>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340"/>
              <w:spacing w:after="0" w:line="230" w:lineRule="exact"/>
              <w:rPr>
                <w:sz w:val="20"/>
                <w:szCs w:val="20"/>
                <w:color w:val="auto"/>
              </w:rPr>
            </w:pPr>
            <w:r>
              <w:rPr>
                <w:rFonts w:ascii="Arial" w:cs="Arial" w:eastAsia="Arial" w:hAnsi="Arial"/>
                <w:sz w:val="18"/>
                <w:szCs w:val="18"/>
                <w:color w:val="auto"/>
              </w:rPr>
              <w:t xml:space="preserve">Stock Ownership Participation Program </w:t>
            </w:r>
            <w:r>
              <w:rPr>
                <w:rFonts w:ascii="Arial" w:cs="Arial" w:eastAsia="Arial" w:hAnsi="Arial"/>
                <w:sz w:val="23"/>
                <w:szCs w:val="23"/>
                <w:color w:val="auto"/>
                <w:vertAlign w:val="superscript"/>
              </w:rPr>
              <w:t>(2)</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N/A</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199,991</w:t>
            </w:r>
          </w:p>
        </w:tc>
      </w:tr>
      <w:tr>
        <w:trPr>
          <w:trHeight w:val="230"/>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gridSpan w:val="2"/>
          </w:tcPr>
          <w:p>
            <w:pPr>
              <w:ind w:left="1480"/>
              <w:spacing w:after="0"/>
              <w:rPr>
                <w:sz w:val="20"/>
                <w:szCs w:val="20"/>
                <w:color w:val="auto"/>
              </w:rPr>
            </w:pPr>
            <w:r>
              <w:rPr>
                <w:rFonts w:ascii="Arial" w:cs="Arial" w:eastAsia="Arial" w:hAnsi="Arial"/>
                <w:sz w:val="18"/>
                <w:szCs w:val="18"/>
                <w:color w:val="auto"/>
              </w:rPr>
              <w:t>N/A</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227,116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790,374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20" w:right="20" w:hanging="412"/>
        <w:spacing w:after="0" w:line="256" w:lineRule="auto"/>
        <w:tabs>
          <w:tab w:leader="none" w:pos="451"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2012 Omnibus Incentive Plan was approved by our shareholders at our annual meeting held on May 1, 2012. Subsequent to the initial approval and through December 31, 2022, our shareholders have approved amendments to the 2012 Omnibus Incentive Plan to increase the number of shares authorized for issuance to 4.6 million shares, in the aggregate.</w:t>
      </w:r>
    </w:p>
    <w:p>
      <w:pPr>
        <w:spacing w:after="0" w:line="147" w:lineRule="exact"/>
        <w:rPr>
          <w:rFonts w:ascii="Arial" w:cs="Arial" w:eastAsia="Arial" w:hAnsi="Arial"/>
          <w:sz w:val="18"/>
          <w:szCs w:val="18"/>
          <w:color w:val="auto"/>
        </w:rPr>
      </w:pPr>
    </w:p>
    <w:p>
      <w:pPr>
        <w:ind w:left="420" w:right="360" w:hanging="412"/>
        <w:spacing w:after="0" w:line="278" w:lineRule="auto"/>
        <w:tabs>
          <w:tab w:leader="none" w:pos="451"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Stock Ownership Participation Program was approved by our shareholders at our annual meeting held on May 1, 2015. Subsequent to the initial approval and through December 31, 2022, our shareholders have approved amendments to the Stock Ownership Participation Program to increase the number of shares authorized for issuance to 0.7 million shares, in the aggregate.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9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“Stock Ownership of Certain Beneficial Owners and Management.”</w:t>
      </w:r>
    </w:p>
    <w:p>
      <w:pPr>
        <w:spacing w:after="0" w:line="162" w:lineRule="exact"/>
        <w:rPr>
          <w:sz w:val="20"/>
          <w:szCs w:val="20"/>
          <w:color w:val="auto"/>
        </w:rPr>
      </w:pPr>
    </w:p>
    <w:p>
      <w:pPr>
        <w:ind w:right="2000" w:firstLine="18"/>
        <w:spacing w:after="0" w:line="451"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 Certain Relationships and Related Transactions</w:t>
      </w:r>
    </w:p>
    <w:p>
      <w:pPr>
        <w:ind w:right="18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“Certain Relationships and Related Transactions.”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93"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portions of the Proxy Statement under “Nominees to Board of Directors,” “Directors Not Standing For Election,” and “Board Meetings and Committees.”</w:t>
      </w:r>
    </w:p>
    <w:p>
      <w:pPr>
        <w:sectPr>
          <w:pgSz w:w="11900" w:h="16838" w:orient="portrait"/>
          <w:cols w:equalWidth="0" w:num="1">
            <w:col w:w="11100"/>
          </w:cols>
          <w:pgMar w:left="320" w:top="1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0" w:right="47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a portion of the Proxy Statement under “Audit and Non-Audit Fees.”</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IV</w:t>
      </w:r>
    </w:p>
    <w:p>
      <w:pPr>
        <w:spacing w:after="0" w:line="239"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Documents filed as part of this Annual Report on Form 10-K.</w:t>
      </w:r>
    </w:p>
    <w:p>
      <w:pPr>
        <w:spacing w:after="0" w:line="193" w:lineRule="exact"/>
        <w:rPr>
          <w:sz w:val="20"/>
          <w:szCs w:val="20"/>
          <w:color w:val="auto"/>
        </w:rPr>
      </w:pPr>
    </w:p>
    <w:p>
      <w:pPr>
        <w:ind w:left="820" w:right="120" w:hanging="812"/>
        <w:spacing w:after="0" w:line="261" w:lineRule="auto"/>
        <w:tabs>
          <w:tab w:leader="none" w:pos="8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Statements—Our independent registered public accounting firm’s report and our Consolidated Financial Statements are listed below and begin on page F-1 of this Form 10-K.</w:t>
      </w:r>
    </w:p>
    <w:p>
      <w:pPr>
        <w:spacing w:after="0" w:line="7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Statements of Operations and Other Comprehensive Income (Loss)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Statements of Stockholders’ Equity</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ind w:left="820" w:right="740" w:hanging="812"/>
        <w:spacing w:after="0" w:line="261" w:lineRule="auto"/>
        <w:tabs>
          <w:tab w:leader="none" w:pos="8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Statement Schedules—The financial statement schedules required by this item are included in the Consolidated Financial Statements and accompanying notes.</w:t>
      </w:r>
    </w:p>
    <w:p>
      <w:pPr>
        <w:spacing w:after="0" w:line="143" w:lineRule="exact"/>
        <w:rPr>
          <w:rFonts w:ascii="Arial" w:cs="Arial" w:eastAsia="Arial" w:hAnsi="Arial"/>
          <w:sz w:val="18"/>
          <w:szCs w:val="18"/>
          <w:color w:val="auto"/>
        </w:rPr>
      </w:pPr>
    </w:p>
    <w:p>
      <w:pPr>
        <w:ind w:left="840" w:hanging="832"/>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Exhibit Index</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38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b w:val="1"/>
                <w:bCs w:val="1"/>
                <w:color w:val="auto"/>
              </w:rPr>
              <w:t>Incorporated by Reference</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6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Exhibit</w:t>
            </w:r>
          </w:p>
        </w:tc>
        <w:tc>
          <w:tcPr>
            <w:tcW w:w="3860" w:type="dxa"/>
            <w:vAlign w:val="bottom"/>
            <w:gridSpan w:val="25"/>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9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Filed</w:t>
            </w:r>
          </w:p>
        </w:tc>
        <w:tc>
          <w:tcPr>
            <w:tcW w:w="10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8"/>
              </w:rPr>
              <w:t>Furnished</w:t>
            </w:r>
          </w:p>
        </w:tc>
        <w:tc>
          <w:tcPr>
            <w:tcW w:w="1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Form</w:t>
            </w:r>
          </w:p>
        </w:tc>
        <w:tc>
          <w:tcPr>
            <w:tcW w:w="112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Period</w:t>
            </w:r>
          </w:p>
        </w:tc>
        <w:tc>
          <w:tcPr>
            <w:tcW w:w="9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Exhibit</w:t>
            </w:r>
          </w:p>
        </w:tc>
        <w:tc>
          <w:tcPr>
            <w:tcW w:w="1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243"/>
        </w:trPr>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3860" w:type="dxa"/>
            <w:vAlign w:val="bottom"/>
            <w:tcBorders>
              <w:bottom w:val="single" w:sz="8" w:color="auto"/>
            </w:tcBorders>
            <w:gridSpan w:val="25"/>
            <w:vMerge w:val="continue"/>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128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Ending</w:t>
            </w:r>
          </w:p>
        </w:tc>
        <w:tc>
          <w:tcPr>
            <w:tcW w:w="98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06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3860" w:type="dxa"/>
            <w:vAlign w:val="bottom"/>
            <w:gridSpan w:val="25"/>
          </w:tcPr>
          <w:p>
            <w:pPr>
              <w:spacing w:after="0" w:line="182" w:lineRule="exact"/>
              <w:rPr>
                <w:rFonts w:ascii="Arial" w:cs="Arial" w:eastAsia="Arial" w:hAnsi="Arial"/>
                <w:sz w:val="18"/>
                <w:szCs w:val="18"/>
                <w:color w:val="0000FF"/>
              </w:rPr>
            </w:pPr>
            <w:hyperlink r:id="rId60">
              <w:r>
                <w:rPr>
                  <w:rFonts w:ascii="Arial" w:cs="Arial" w:eastAsia="Arial" w:hAnsi="Arial"/>
                  <w:sz w:val="18"/>
                  <w:szCs w:val="18"/>
                  <w:color w:val="0000FF"/>
                </w:rPr>
                <w:t>Third Amended and Restated Certificate of</w:t>
              </w:r>
            </w:hyperlink>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80" w:type="dxa"/>
            <w:vAlign w:val="bottom"/>
          </w:tcPr>
          <w:p>
            <w:pPr>
              <w:jc w:val="center"/>
              <w:spacing w:after="0" w:line="182" w:lineRule="exact"/>
              <w:rPr>
                <w:sz w:val="20"/>
                <w:szCs w:val="20"/>
                <w:color w:val="auto"/>
              </w:rPr>
            </w:pPr>
            <w:r>
              <w:rPr>
                <w:rFonts w:ascii="Arial" w:cs="Arial" w:eastAsia="Arial" w:hAnsi="Arial"/>
                <w:sz w:val="18"/>
                <w:szCs w:val="18"/>
                <w:color w:val="auto"/>
                <w:w w:val="99"/>
              </w:rPr>
              <w:t>10-K</w:t>
            </w:r>
          </w:p>
        </w:tc>
        <w:tc>
          <w:tcPr>
            <w:tcW w:w="112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12/31/2004</w:t>
            </w:r>
          </w:p>
        </w:tc>
        <w:tc>
          <w:tcPr>
            <w:tcW w:w="980" w:type="dxa"/>
            <w:vAlign w:val="bottom"/>
          </w:tcPr>
          <w:p>
            <w:pPr>
              <w:jc w:val="center"/>
              <w:ind w:right="50"/>
              <w:spacing w:after="0" w:line="182" w:lineRule="exact"/>
              <w:rPr>
                <w:sz w:val="20"/>
                <w:szCs w:val="20"/>
                <w:color w:val="auto"/>
              </w:rPr>
            </w:pPr>
            <w:r>
              <w:rPr>
                <w:rFonts w:ascii="Arial" w:cs="Arial" w:eastAsia="Arial" w:hAnsi="Arial"/>
                <w:sz w:val="18"/>
                <w:szCs w:val="18"/>
                <w:color w:val="auto"/>
                <w:w w:val="95"/>
              </w:rPr>
              <w:t>3.1</w:t>
            </w:r>
          </w:p>
        </w:tc>
        <w:tc>
          <w:tcPr>
            <w:tcW w:w="1020" w:type="dxa"/>
            <w:vAlign w:val="bottom"/>
          </w:tcPr>
          <w:p>
            <w:pPr>
              <w:jc w:val="center"/>
              <w:spacing w:after="0" w:line="182" w:lineRule="exact"/>
              <w:rPr>
                <w:sz w:val="20"/>
                <w:szCs w:val="20"/>
                <w:color w:val="auto"/>
              </w:rPr>
            </w:pPr>
            <w:r>
              <w:rPr>
                <w:rFonts w:ascii="Arial" w:cs="Arial" w:eastAsia="Arial" w:hAnsi="Arial"/>
                <w:sz w:val="18"/>
                <w:szCs w:val="18"/>
                <w:color w:val="auto"/>
                <w:w w:val="99"/>
              </w:rPr>
              <w:t>2/16/2005</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60" w:type="dxa"/>
            <w:vAlign w:val="bottom"/>
          </w:tcPr>
          <w:p>
            <w:pPr>
              <w:spacing w:after="0"/>
              <w:rPr>
                <w:sz w:val="13"/>
                <w:szCs w:val="13"/>
                <w:color w:val="auto"/>
              </w:rPr>
            </w:pPr>
          </w:p>
        </w:tc>
        <w:tc>
          <w:tcPr>
            <w:tcW w:w="3580" w:type="dxa"/>
            <w:vAlign w:val="bottom"/>
            <w:tcBorders>
              <w:bottom w:val="single" w:sz="8" w:color="0000FF"/>
            </w:tcBorders>
            <w:gridSpan w:val="19"/>
          </w:tcPr>
          <w:p>
            <w:pPr>
              <w:spacing w:after="0" w:line="156" w:lineRule="exact"/>
              <w:rPr>
                <w:rFonts w:ascii="Arial" w:cs="Arial" w:eastAsia="Arial" w:hAnsi="Arial"/>
                <w:sz w:val="18"/>
                <w:szCs w:val="18"/>
                <w:color w:val="0000FF"/>
                <w:w w:val="99"/>
              </w:rPr>
            </w:pPr>
            <w:hyperlink r:id="rId60">
              <w:r>
                <w:rPr>
                  <w:rFonts w:ascii="Arial" w:cs="Arial" w:eastAsia="Arial" w:hAnsi="Arial"/>
                  <w:sz w:val="18"/>
                  <w:szCs w:val="18"/>
                  <w:color w:val="0000FF"/>
                  <w:w w:val="99"/>
                </w:rPr>
                <w:t>Incorporation of Huron Consulting Group Inc.</w:t>
              </w:r>
            </w:hyperlink>
          </w:p>
        </w:tc>
        <w:tc>
          <w:tcPr>
            <w:tcW w:w="280" w:type="dxa"/>
            <w:vAlign w:val="bottom"/>
            <w:gridSpan w:val="6"/>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20"/>
              <w:spacing w:after="0"/>
              <w:rPr>
                <w:sz w:val="20"/>
                <w:szCs w:val="20"/>
                <w:color w:val="auto"/>
              </w:rPr>
            </w:pPr>
            <w:r>
              <w:rPr>
                <w:rFonts w:ascii="Arial" w:cs="Arial" w:eastAsia="Arial" w:hAnsi="Arial"/>
                <w:sz w:val="18"/>
                <w:szCs w:val="18"/>
                <w:color w:val="auto"/>
              </w:rPr>
              <w:t>3.2</w:t>
            </w:r>
          </w:p>
        </w:tc>
        <w:tc>
          <w:tcPr>
            <w:tcW w:w="3860" w:type="dxa"/>
            <w:vAlign w:val="bottom"/>
            <w:gridSpan w:val="25"/>
          </w:tcPr>
          <w:p>
            <w:pPr>
              <w:spacing w:after="0"/>
              <w:rPr>
                <w:rFonts w:ascii="Arial" w:cs="Arial" w:eastAsia="Arial" w:hAnsi="Arial"/>
                <w:sz w:val="18"/>
                <w:szCs w:val="18"/>
                <w:color w:val="0000FF"/>
              </w:rPr>
            </w:pPr>
            <w:hyperlink r:id="rId61">
              <w:r>
                <w:rPr>
                  <w:rFonts w:ascii="Arial" w:cs="Arial" w:eastAsia="Arial" w:hAnsi="Arial"/>
                  <w:sz w:val="18"/>
                  <w:szCs w:val="18"/>
                  <w:color w:val="0000FF"/>
                </w:rPr>
                <w:t>Amended and Restated Bylaws of Huron</w:t>
              </w:r>
            </w:hyperlink>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spacing w:after="0"/>
              <w:rPr>
                <w:sz w:val="19"/>
                <w:szCs w:val="19"/>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5"/>
              </w:rPr>
              <w:t>3.1</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11/2/2022</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7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61">
              <w:r>
                <w:rPr>
                  <w:rFonts w:ascii="Arial" w:cs="Arial" w:eastAsia="Arial" w:hAnsi="Arial"/>
                  <w:sz w:val="18"/>
                  <w:szCs w:val="18"/>
                  <w:color w:val="0000FF"/>
                  <w:w w:val="98"/>
                </w:rPr>
                <w:t>Consulting Group Inc.</w:t>
              </w:r>
            </w:hyperlink>
          </w:p>
        </w:tc>
        <w:tc>
          <w:tcPr>
            <w:tcW w:w="1500" w:type="dxa"/>
            <w:vAlign w:val="bottom"/>
            <w:tcBorders>
              <w:top w:val="single" w:sz="8" w:color="0000FF"/>
            </w:tcBorders>
            <w:gridSpan w:val="13"/>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060" w:type="dxa"/>
            <w:vAlign w:val="bottom"/>
          </w:tcPr>
          <w:p>
            <w:pPr>
              <w:ind w:left="20"/>
              <w:spacing w:after="0"/>
              <w:rPr>
                <w:sz w:val="20"/>
                <w:szCs w:val="20"/>
                <w:color w:val="auto"/>
              </w:rPr>
            </w:pPr>
            <w:r>
              <w:rPr>
                <w:rFonts w:ascii="Arial" w:cs="Arial" w:eastAsia="Arial" w:hAnsi="Arial"/>
                <w:sz w:val="18"/>
                <w:szCs w:val="18"/>
                <w:color w:val="auto"/>
              </w:rPr>
              <w:t>4.1</w:t>
            </w:r>
          </w:p>
        </w:tc>
        <w:tc>
          <w:tcPr>
            <w:tcW w:w="3860" w:type="dxa"/>
            <w:vAlign w:val="bottom"/>
            <w:gridSpan w:val="25"/>
          </w:tcPr>
          <w:p>
            <w:pPr>
              <w:spacing w:after="0"/>
              <w:rPr>
                <w:rFonts w:ascii="Arial" w:cs="Arial" w:eastAsia="Arial" w:hAnsi="Arial"/>
                <w:sz w:val="18"/>
                <w:szCs w:val="18"/>
                <w:color w:val="0000FF"/>
              </w:rPr>
            </w:pPr>
            <w:hyperlink r:id="rId62">
              <w:r>
                <w:rPr>
                  <w:rFonts w:ascii="Arial" w:cs="Arial" w:eastAsia="Arial" w:hAnsi="Arial"/>
                  <w:sz w:val="18"/>
                  <w:szCs w:val="18"/>
                  <w:color w:val="0000FF"/>
                </w:rPr>
                <w:t>Specimen Stock Certificate.</w:t>
              </w:r>
            </w:hyperlink>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120" w:type="dxa"/>
            <w:vAlign w:val="bottom"/>
          </w:tcPr>
          <w:p>
            <w:pPr>
              <w:spacing w:after="0"/>
              <w:rPr>
                <w:sz w:val="19"/>
                <w:szCs w:val="19"/>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5"/>
              </w:rPr>
              <w:t>4.1</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10/5/2004</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tcPr>
          <w:p>
            <w:pPr>
              <w:jc w:val="center"/>
              <w:spacing w:after="0" w:line="156" w:lineRule="exact"/>
              <w:rPr>
                <w:sz w:val="20"/>
                <w:szCs w:val="20"/>
                <w:color w:val="auto"/>
              </w:rPr>
            </w:pPr>
            <w:r>
              <w:rPr>
                <w:rFonts w:ascii="Arial" w:cs="Arial" w:eastAsia="Arial" w:hAnsi="Arial"/>
                <w:sz w:val="18"/>
                <w:szCs w:val="18"/>
                <w:color w:val="auto"/>
                <w:w w:val="99"/>
              </w:rPr>
              <w:t>(File No. 333-</w:t>
            </w: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0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115434)</w:t>
            </w: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60" w:type="dxa"/>
            <w:vAlign w:val="bottom"/>
          </w:tcPr>
          <w:p>
            <w:pPr>
              <w:ind w:left="20"/>
              <w:spacing w:after="0" w:line="202" w:lineRule="exact"/>
              <w:rPr>
                <w:sz w:val="20"/>
                <w:szCs w:val="20"/>
                <w:color w:val="auto"/>
              </w:rPr>
            </w:pPr>
            <w:r>
              <w:rPr>
                <w:rFonts w:ascii="Arial" w:cs="Arial" w:eastAsia="Arial" w:hAnsi="Arial"/>
                <w:sz w:val="18"/>
                <w:szCs w:val="18"/>
                <w:color w:val="auto"/>
              </w:rPr>
              <w:t>4.2</w:t>
            </w:r>
          </w:p>
        </w:tc>
        <w:tc>
          <w:tcPr>
            <w:tcW w:w="3860" w:type="dxa"/>
            <w:vAlign w:val="bottom"/>
            <w:gridSpan w:val="25"/>
          </w:tcPr>
          <w:p>
            <w:pPr>
              <w:spacing w:after="0" w:line="202" w:lineRule="exact"/>
              <w:rPr>
                <w:rFonts w:ascii="Arial" w:cs="Arial" w:eastAsia="Arial" w:hAnsi="Arial"/>
                <w:sz w:val="18"/>
                <w:szCs w:val="18"/>
                <w:color w:val="0000FF"/>
              </w:rPr>
            </w:pPr>
            <w:hyperlink r:id="rId63">
              <w:r>
                <w:rPr>
                  <w:rFonts w:ascii="Arial" w:cs="Arial" w:eastAsia="Arial" w:hAnsi="Arial"/>
                  <w:sz w:val="18"/>
                  <w:szCs w:val="18"/>
                  <w:color w:val="0000FF"/>
                </w:rPr>
                <w:t>Description of Securities.</w:t>
              </w:r>
            </w:hyperlink>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jc w:val="center"/>
              <w:spacing w:after="0" w:line="202" w:lineRule="exact"/>
              <w:rPr>
                <w:sz w:val="20"/>
                <w:szCs w:val="20"/>
                <w:color w:val="auto"/>
              </w:rPr>
            </w:pPr>
            <w:r>
              <w:rPr>
                <w:rFonts w:ascii="Arial" w:cs="Arial" w:eastAsia="Arial" w:hAnsi="Arial"/>
                <w:sz w:val="18"/>
                <w:szCs w:val="18"/>
                <w:color w:val="auto"/>
                <w:w w:val="99"/>
              </w:rPr>
              <w:t>10-K</w:t>
            </w: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12/31/2019</w:t>
            </w:r>
          </w:p>
        </w:tc>
        <w:tc>
          <w:tcPr>
            <w:tcW w:w="98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5"/>
              </w:rPr>
              <w:t>4.2</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9"/>
              </w:rPr>
              <w:t>2/26/2020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10.1</w:t>
            </w:r>
          </w:p>
        </w:tc>
        <w:tc>
          <w:tcPr>
            <w:tcW w:w="3860" w:type="dxa"/>
            <w:vAlign w:val="bottom"/>
            <w:gridSpan w:val="25"/>
          </w:tcPr>
          <w:p>
            <w:pPr>
              <w:spacing w:after="0"/>
              <w:rPr>
                <w:rFonts w:ascii="Arial" w:cs="Arial" w:eastAsia="Arial" w:hAnsi="Arial"/>
                <w:sz w:val="18"/>
                <w:szCs w:val="18"/>
                <w:color w:val="0000FF"/>
              </w:rPr>
            </w:pPr>
            <w:hyperlink r:id="rId64">
              <w:r>
                <w:rPr>
                  <w:rFonts w:ascii="Arial" w:cs="Arial" w:eastAsia="Arial" w:hAnsi="Arial"/>
                  <w:sz w:val="18"/>
                  <w:szCs w:val="18"/>
                  <w:color w:val="0000FF"/>
                </w:rPr>
                <w:t>Office Lease, dated December 2003, between</w:t>
              </w:r>
            </w:hyperlink>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S-1</w:t>
            </w:r>
          </w:p>
        </w:tc>
        <w:tc>
          <w:tcPr>
            <w:tcW w:w="112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rPr>
              <w:t>10.1</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10/5/2004</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660" w:type="dxa"/>
            <w:vAlign w:val="bottom"/>
            <w:tcBorders>
              <w:top w:val="single" w:sz="8" w:color="0000FF"/>
            </w:tcBorders>
            <w:gridSpan w:val="21"/>
          </w:tcPr>
          <w:p>
            <w:pPr>
              <w:spacing w:after="0" w:line="154" w:lineRule="exact"/>
              <w:rPr>
                <w:rFonts w:ascii="Arial" w:cs="Arial" w:eastAsia="Arial" w:hAnsi="Arial"/>
                <w:sz w:val="17"/>
                <w:szCs w:val="17"/>
                <w:color w:val="0000FF"/>
              </w:rPr>
            </w:pPr>
            <w:hyperlink r:id="rId64">
              <w:r>
                <w:rPr>
                  <w:rFonts w:ascii="Arial" w:cs="Arial" w:eastAsia="Arial" w:hAnsi="Arial"/>
                  <w:sz w:val="17"/>
                  <w:szCs w:val="17"/>
                  <w:color w:val="0000FF"/>
                </w:rPr>
                <w:t>Union Tower, LLC and Huron Consulting</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200" w:type="dxa"/>
            <w:vAlign w:val="bottom"/>
            <w:tcBorders>
              <w:top w:val="single" w:sz="8" w:color="0000FF"/>
            </w:tcBorders>
            <w:gridSpan w:val="13"/>
          </w:tcPr>
          <w:p>
            <w:pPr>
              <w:spacing w:after="0" w:line="156" w:lineRule="exact"/>
              <w:rPr>
                <w:rFonts w:ascii="Arial" w:cs="Arial" w:eastAsia="Arial" w:hAnsi="Arial"/>
                <w:sz w:val="18"/>
                <w:szCs w:val="18"/>
                <w:color w:val="0000FF"/>
                <w:w w:val="99"/>
              </w:rPr>
            </w:pPr>
            <w:hyperlink r:id="rId64">
              <w:r>
                <w:rPr>
                  <w:rFonts w:ascii="Arial" w:cs="Arial" w:eastAsia="Arial" w:hAnsi="Arial"/>
                  <w:sz w:val="18"/>
                  <w:szCs w:val="18"/>
                  <w:color w:val="0000FF"/>
                  <w:w w:val="99"/>
                </w:rPr>
                <w:t>Services LLC (formerly known as Huron</w:t>
              </w:r>
            </w:hyperlink>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tcPr>
          <w:p>
            <w:pPr>
              <w:jc w:val="center"/>
              <w:spacing w:after="0" w:line="156" w:lineRule="exact"/>
              <w:rPr>
                <w:sz w:val="20"/>
                <w:szCs w:val="20"/>
                <w:color w:val="auto"/>
              </w:rPr>
            </w:pPr>
            <w:r>
              <w:rPr>
                <w:rFonts w:ascii="Arial" w:cs="Arial" w:eastAsia="Arial" w:hAnsi="Arial"/>
                <w:sz w:val="18"/>
                <w:szCs w:val="18"/>
                <w:color w:val="auto"/>
                <w:w w:val="99"/>
              </w:rPr>
              <w:t>(File No. 333-</w:t>
            </w: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3180" w:type="dxa"/>
            <w:vAlign w:val="bottom"/>
            <w:tcBorders>
              <w:top w:val="single" w:sz="8" w:color="0000FF"/>
            </w:tcBorders>
            <w:gridSpan w:val="12"/>
          </w:tcPr>
          <w:p>
            <w:pPr>
              <w:spacing w:after="0" w:line="170" w:lineRule="exact"/>
              <w:rPr>
                <w:rFonts w:ascii="Arial" w:cs="Arial" w:eastAsia="Arial" w:hAnsi="Arial"/>
                <w:sz w:val="18"/>
                <w:szCs w:val="18"/>
                <w:color w:val="0000FF"/>
              </w:rPr>
            </w:pPr>
            <w:hyperlink r:id="rId64">
              <w:r>
                <w:rPr>
                  <w:rFonts w:ascii="Arial" w:cs="Arial" w:eastAsia="Arial" w:hAnsi="Arial"/>
                  <w:sz w:val="18"/>
                  <w:szCs w:val="18"/>
                  <w:color w:val="0000FF"/>
                </w:rPr>
                <w:t>Consulting Group LLC).</w:t>
              </w:r>
            </w:hyperlink>
          </w:p>
        </w:tc>
        <w:tc>
          <w:tcPr>
            <w:tcW w:w="2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jc w:val="center"/>
              <w:spacing w:after="0" w:line="170" w:lineRule="exact"/>
              <w:rPr>
                <w:sz w:val="20"/>
                <w:szCs w:val="20"/>
                <w:color w:val="auto"/>
              </w:rPr>
            </w:pPr>
            <w:r>
              <w:rPr>
                <w:rFonts w:ascii="Arial" w:cs="Arial" w:eastAsia="Arial" w:hAnsi="Arial"/>
                <w:sz w:val="18"/>
                <w:szCs w:val="18"/>
                <w:color w:val="auto"/>
              </w:rPr>
              <w:t>115434)</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10.2*</w:t>
            </w:r>
          </w:p>
        </w:tc>
        <w:tc>
          <w:tcPr>
            <w:tcW w:w="3860" w:type="dxa"/>
            <w:vAlign w:val="bottom"/>
            <w:gridSpan w:val="25"/>
          </w:tcPr>
          <w:p>
            <w:pPr>
              <w:spacing w:after="0"/>
              <w:rPr>
                <w:rFonts w:ascii="Arial" w:cs="Arial" w:eastAsia="Arial" w:hAnsi="Arial"/>
                <w:sz w:val="18"/>
                <w:szCs w:val="18"/>
                <w:color w:val="0000FF"/>
              </w:rPr>
            </w:pPr>
            <w:hyperlink r:id="rId65">
              <w:r>
                <w:rPr>
                  <w:rFonts w:ascii="Arial" w:cs="Arial" w:eastAsia="Arial" w:hAnsi="Arial"/>
                  <w:sz w:val="18"/>
                  <w:szCs w:val="18"/>
                  <w:color w:val="0000FF"/>
                </w:rPr>
                <w:t>Huron Consulting Group Inc. Deferred</w:t>
              </w:r>
            </w:hyperlink>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12/31/2008</w:t>
            </w: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7"/>
              </w:rPr>
              <w:t>10.12</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2/24/2009</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020" w:type="dxa"/>
            <w:vAlign w:val="bottom"/>
            <w:tcBorders>
              <w:top w:val="single" w:sz="8" w:color="0000FF"/>
            </w:tcBorders>
            <w:gridSpan w:val="9"/>
          </w:tcPr>
          <w:p>
            <w:pPr>
              <w:spacing w:after="0" w:line="157" w:lineRule="exact"/>
              <w:rPr>
                <w:rFonts w:ascii="Arial" w:cs="Arial" w:eastAsia="Arial" w:hAnsi="Arial"/>
                <w:sz w:val="18"/>
                <w:szCs w:val="18"/>
                <w:color w:val="0000FF"/>
              </w:rPr>
            </w:pPr>
            <w:hyperlink r:id="rId65">
              <w:r>
                <w:rPr>
                  <w:rFonts w:ascii="Arial" w:cs="Arial" w:eastAsia="Arial" w:hAnsi="Arial"/>
                  <w:sz w:val="18"/>
                  <w:szCs w:val="18"/>
                  <w:color w:val="0000FF"/>
                </w:rPr>
                <w:t>Compensation Plan as Amended and</w:t>
              </w:r>
            </w:hyperlink>
          </w:p>
        </w:tc>
        <w:tc>
          <w:tcPr>
            <w:tcW w:w="20" w:type="dxa"/>
            <w:vAlign w:val="bottom"/>
          </w:tcPr>
          <w:p>
            <w:pPr>
              <w:spacing w:after="0"/>
              <w:rPr>
                <w:sz w:val="13"/>
                <w:szCs w:val="13"/>
                <w:color w:val="auto"/>
              </w:rPr>
            </w:pPr>
          </w:p>
        </w:tc>
        <w:tc>
          <w:tcPr>
            <w:tcW w:w="820" w:type="dxa"/>
            <w:vAlign w:val="bottom"/>
            <w:gridSpan w:val="15"/>
          </w:tcPr>
          <w:p>
            <w:pPr>
              <w:spacing w:after="0" w:line="157" w:lineRule="exact"/>
              <w:rPr>
                <w:rFonts w:ascii="Arial" w:cs="Arial" w:eastAsia="Arial" w:hAnsi="Arial"/>
                <w:sz w:val="18"/>
                <w:szCs w:val="18"/>
                <w:color w:val="0000FF"/>
              </w:rPr>
            </w:pPr>
            <w:hyperlink r:id="rId65">
              <w:r>
                <w:rPr>
                  <w:rFonts w:ascii="Arial" w:cs="Arial" w:eastAsia="Arial" w:hAnsi="Arial"/>
                  <w:sz w:val="18"/>
                  <w:szCs w:val="18"/>
                  <w:color w:val="0000FF"/>
                </w:rPr>
                <w:t>Restated</w:t>
              </w:r>
            </w:hyperlink>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7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65">
              <w:r>
                <w:rPr>
                  <w:rFonts w:ascii="Arial" w:cs="Arial" w:eastAsia="Arial" w:hAnsi="Arial"/>
                  <w:sz w:val="18"/>
                  <w:szCs w:val="18"/>
                  <w:color w:val="0000FF"/>
                </w:rPr>
                <w:t>effective January 1, 2009.</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Pr>
          <w:p>
            <w:pPr>
              <w:ind w:left="20"/>
              <w:spacing w:after="0"/>
              <w:rPr>
                <w:sz w:val="20"/>
                <w:szCs w:val="20"/>
                <w:color w:val="auto"/>
              </w:rPr>
            </w:pPr>
            <w:r>
              <w:rPr>
                <w:rFonts w:ascii="Arial" w:cs="Arial" w:eastAsia="Arial" w:hAnsi="Arial"/>
                <w:sz w:val="18"/>
                <w:szCs w:val="18"/>
                <w:color w:val="auto"/>
              </w:rPr>
              <w:t>10.3*</w:t>
            </w:r>
          </w:p>
        </w:tc>
        <w:tc>
          <w:tcPr>
            <w:tcW w:w="3860" w:type="dxa"/>
            <w:vAlign w:val="bottom"/>
            <w:tcBorders>
              <w:bottom w:val="single" w:sz="8" w:color="0000FF"/>
            </w:tcBorders>
            <w:gridSpan w:val="25"/>
          </w:tcPr>
          <w:p>
            <w:pPr>
              <w:spacing w:after="0"/>
              <w:rPr>
                <w:rFonts w:ascii="Arial" w:cs="Arial" w:eastAsia="Arial" w:hAnsi="Arial"/>
                <w:sz w:val="18"/>
                <w:szCs w:val="18"/>
                <w:color w:val="0000FF"/>
                <w:w w:val="99"/>
              </w:rPr>
            </w:pPr>
            <w:hyperlink r:id="rId66">
              <w:r>
                <w:rPr>
                  <w:rFonts w:ascii="Arial" w:cs="Arial" w:eastAsia="Arial" w:hAnsi="Arial"/>
                  <w:sz w:val="18"/>
                  <w:szCs w:val="18"/>
                  <w:color w:val="0000FF"/>
                  <w:w w:val="99"/>
                </w:rPr>
                <w:t>Senior Management Agreement by and between</w:t>
              </w:r>
            </w:hyperlink>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spacing w:after="0"/>
              <w:rPr>
                <w:sz w:val="19"/>
                <w:szCs w:val="19"/>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rPr>
              <w:t>10.1</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1/6/2017</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860" w:type="dxa"/>
            <w:vAlign w:val="bottom"/>
            <w:gridSpan w:val="25"/>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Huron Consulting Group Inc. and John D. Kelly.</w:t>
              </w:r>
            </w:hyperlink>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20"/>
              <w:spacing w:after="0"/>
              <w:rPr>
                <w:sz w:val="20"/>
                <w:szCs w:val="20"/>
                <w:color w:val="auto"/>
              </w:rPr>
            </w:pPr>
            <w:r>
              <w:rPr>
                <w:rFonts w:ascii="Arial" w:cs="Arial" w:eastAsia="Arial" w:hAnsi="Arial"/>
                <w:sz w:val="18"/>
                <w:szCs w:val="18"/>
                <w:color w:val="auto"/>
              </w:rPr>
              <w:t>10.4</w:t>
            </w:r>
          </w:p>
        </w:tc>
        <w:tc>
          <w:tcPr>
            <w:tcW w:w="3760" w:type="dxa"/>
            <w:vAlign w:val="bottom"/>
            <w:tcBorders>
              <w:top w:val="single" w:sz="8" w:color="0000FF"/>
            </w:tcBorders>
            <w:gridSpan w:val="24"/>
          </w:tcPr>
          <w:p>
            <w:pPr>
              <w:spacing w:after="0"/>
              <w:rPr>
                <w:rFonts w:ascii="Arial" w:cs="Arial" w:eastAsia="Arial" w:hAnsi="Arial"/>
                <w:sz w:val="18"/>
                <w:szCs w:val="18"/>
                <w:color w:val="0000FF"/>
              </w:rPr>
            </w:pPr>
            <w:hyperlink r:id="rId67">
              <w:r>
                <w:rPr>
                  <w:rFonts w:ascii="Arial" w:cs="Arial" w:eastAsia="Arial" w:hAnsi="Arial"/>
                  <w:sz w:val="18"/>
                  <w:szCs w:val="18"/>
                  <w:color w:val="0000FF"/>
                </w:rPr>
                <w:t>First Amendment to Lease by and between</w:t>
              </w:r>
            </w:hyperlink>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12/31/2012</w:t>
            </w: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7"/>
              </w:rPr>
              <w:t>10.17</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2/21/2013</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4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Huron Consulting Services LLC and Union</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28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8"/>
              </w:rPr>
            </w:pPr>
            <w:hyperlink r:id="rId67">
              <w:r>
                <w:rPr>
                  <w:rFonts w:ascii="Arial" w:cs="Arial" w:eastAsia="Arial" w:hAnsi="Arial"/>
                  <w:sz w:val="18"/>
                  <w:szCs w:val="18"/>
                  <w:color w:val="0000FF"/>
                  <w:w w:val="98"/>
                </w:rPr>
                <w:t>Tower, LLC, dated August 23, 2004.</w:t>
              </w:r>
            </w:hyperlink>
          </w:p>
        </w:tc>
        <w:tc>
          <w:tcPr>
            <w:tcW w:w="54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20"/>
              <w:spacing w:after="0"/>
              <w:rPr>
                <w:sz w:val="20"/>
                <w:szCs w:val="20"/>
                <w:color w:val="auto"/>
              </w:rPr>
            </w:pPr>
            <w:r>
              <w:rPr>
                <w:rFonts w:ascii="Arial" w:cs="Arial" w:eastAsia="Arial" w:hAnsi="Arial"/>
                <w:sz w:val="18"/>
                <w:szCs w:val="18"/>
                <w:color w:val="auto"/>
              </w:rPr>
              <w:t>10.5</w:t>
            </w:r>
          </w:p>
        </w:tc>
        <w:tc>
          <w:tcPr>
            <w:tcW w:w="3860" w:type="dxa"/>
            <w:vAlign w:val="bottom"/>
            <w:gridSpan w:val="25"/>
          </w:tcPr>
          <w:p>
            <w:pPr>
              <w:spacing w:after="0"/>
              <w:rPr>
                <w:rFonts w:ascii="Arial" w:cs="Arial" w:eastAsia="Arial" w:hAnsi="Arial"/>
                <w:sz w:val="18"/>
                <w:szCs w:val="18"/>
                <w:color w:val="0000FF"/>
              </w:rPr>
            </w:pPr>
            <w:hyperlink r:id="rId68">
              <w:r>
                <w:rPr>
                  <w:rFonts w:ascii="Arial" w:cs="Arial" w:eastAsia="Arial" w:hAnsi="Arial"/>
                  <w:sz w:val="18"/>
                  <w:szCs w:val="18"/>
                  <w:color w:val="0000FF"/>
                </w:rPr>
                <w:t>Second Amendment to Lease by and between</w:t>
              </w:r>
            </w:hyperlink>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12/31/2012</w:t>
            </w: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7"/>
              </w:rPr>
              <w:t>10.18</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2/21/2013</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6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Huron Consulting Services LLC and Union</w:t>
              </w:r>
            </w:hyperlink>
          </w:p>
        </w:tc>
        <w:tc>
          <w:tcPr>
            <w:tcW w:w="18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8"/>
              </w:rPr>
            </w:pPr>
            <w:hyperlink r:id="rId68">
              <w:r>
                <w:rPr>
                  <w:rFonts w:ascii="Arial" w:cs="Arial" w:eastAsia="Arial" w:hAnsi="Arial"/>
                  <w:sz w:val="18"/>
                  <w:szCs w:val="18"/>
                  <w:color w:val="0000FF"/>
                  <w:w w:val="98"/>
                </w:rPr>
                <w:t>Tower, LLC, dated March 14, 2007.</w:t>
              </w:r>
            </w:hyperlink>
          </w:p>
        </w:tc>
        <w:tc>
          <w:tcPr>
            <w:tcW w:w="60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60" w:type="dxa"/>
            <w:vAlign w:val="bottom"/>
            <w:gridSpan w:val="5"/>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20"/>
              <w:spacing w:after="0"/>
              <w:rPr>
                <w:sz w:val="20"/>
                <w:szCs w:val="20"/>
                <w:color w:val="auto"/>
              </w:rPr>
            </w:pPr>
            <w:r>
              <w:rPr>
                <w:rFonts w:ascii="Arial" w:cs="Arial" w:eastAsia="Arial" w:hAnsi="Arial"/>
                <w:sz w:val="18"/>
                <w:szCs w:val="18"/>
                <w:color w:val="auto"/>
              </w:rPr>
              <w:t>10.6</w:t>
            </w:r>
          </w:p>
        </w:tc>
        <w:tc>
          <w:tcPr>
            <w:tcW w:w="3860" w:type="dxa"/>
            <w:vAlign w:val="bottom"/>
            <w:gridSpan w:val="25"/>
          </w:tcPr>
          <w:p>
            <w:pPr>
              <w:spacing w:after="0"/>
              <w:rPr>
                <w:rFonts w:ascii="Arial" w:cs="Arial" w:eastAsia="Arial" w:hAnsi="Arial"/>
                <w:sz w:val="18"/>
                <w:szCs w:val="18"/>
                <w:color w:val="0000FF"/>
              </w:rPr>
            </w:pPr>
            <w:hyperlink r:id="rId69">
              <w:r>
                <w:rPr>
                  <w:rFonts w:ascii="Arial" w:cs="Arial" w:eastAsia="Arial" w:hAnsi="Arial"/>
                  <w:sz w:val="18"/>
                  <w:szCs w:val="18"/>
                  <w:color w:val="0000FF"/>
                </w:rPr>
                <w:t>Third Amendment to Lease by and between</w:t>
              </w:r>
            </w:hyperlink>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12/31/2012</w:t>
            </w: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7"/>
              </w:rPr>
              <w:t>10.19</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2/21/2013</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4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Huron Consulting Services LLC and Union</w:t>
              </w:r>
            </w:hyperlink>
          </w:p>
        </w:tc>
        <w:tc>
          <w:tcPr>
            <w:tcW w:w="120" w:type="dxa"/>
            <w:vAlign w:val="bottom"/>
            <w:gridSpan w:val="2"/>
          </w:tcPr>
          <w:p>
            <w:pPr>
              <w:spacing w:after="0"/>
              <w:rPr>
                <w:sz w:val="13"/>
                <w:szCs w:val="13"/>
                <w:color w:val="auto"/>
              </w:rPr>
            </w:pPr>
          </w:p>
        </w:tc>
        <w:tc>
          <w:tcPr>
            <w:tcW w:w="260" w:type="dxa"/>
            <w:vAlign w:val="bottom"/>
            <w:gridSpan w:val="5"/>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8"/>
              </w:rPr>
            </w:pPr>
            <w:hyperlink r:id="rId69">
              <w:r>
                <w:rPr>
                  <w:rFonts w:ascii="Arial" w:cs="Arial" w:eastAsia="Arial" w:hAnsi="Arial"/>
                  <w:sz w:val="18"/>
                  <w:szCs w:val="18"/>
                  <w:color w:val="0000FF"/>
                  <w:w w:val="98"/>
                </w:rPr>
                <w:t>Tower, LLC, dated April 2, 2010.</w:t>
              </w:r>
            </w:hyperlink>
          </w:p>
        </w:tc>
        <w:tc>
          <w:tcPr>
            <w:tcW w:w="84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260" w:type="dxa"/>
            <w:vAlign w:val="bottom"/>
            <w:gridSpan w:val="5"/>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20"/>
              <w:spacing w:after="0"/>
              <w:rPr>
                <w:sz w:val="20"/>
                <w:szCs w:val="20"/>
                <w:color w:val="auto"/>
              </w:rPr>
            </w:pPr>
            <w:r>
              <w:rPr>
                <w:rFonts w:ascii="Arial" w:cs="Arial" w:eastAsia="Arial" w:hAnsi="Arial"/>
                <w:sz w:val="18"/>
                <w:szCs w:val="18"/>
                <w:color w:val="auto"/>
              </w:rPr>
              <w:t>10.7</w:t>
            </w:r>
          </w:p>
        </w:tc>
        <w:tc>
          <w:tcPr>
            <w:tcW w:w="3860" w:type="dxa"/>
            <w:vAlign w:val="bottom"/>
            <w:gridSpan w:val="25"/>
          </w:tcPr>
          <w:p>
            <w:pPr>
              <w:spacing w:after="0"/>
              <w:rPr>
                <w:rFonts w:ascii="Arial" w:cs="Arial" w:eastAsia="Arial" w:hAnsi="Arial"/>
                <w:sz w:val="18"/>
                <w:szCs w:val="18"/>
                <w:color w:val="0000FF"/>
              </w:rPr>
            </w:pPr>
            <w:hyperlink r:id="rId70">
              <w:r>
                <w:rPr>
                  <w:rFonts w:ascii="Arial" w:cs="Arial" w:eastAsia="Arial" w:hAnsi="Arial"/>
                  <w:sz w:val="18"/>
                  <w:szCs w:val="18"/>
                  <w:color w:val="0000FF"/>
                </w:rPr>
                <w:t>Fourth Amendment to Lease by and between</w:t>
              </w:r>
            </w:hyperlink>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20" w:type="dxa"/>
            <w:vAlign w:val="bottom"/>
          </w:tcPr>
          <w:p>
            <w:pPr>
              <w:spacing w:after="0"/>
              <w:rPr>
                <w:sz w:val="19"/>
                <w:szCs w:val="19"/>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rPr>
              <w:t>10.1</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1/4/2013</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6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Huron Consulting Services LLC and Union</w:t>
              </w:r>
            </w:hyperlink>
          </w:p>
        </w:tc>
        <w:tc>
          <w:tcPr>
            <w:tcW w:w="260" w:type="dxa"/>
            <w:vAlign w:val="bottom"/>
            <w:gridSpan w:val="5"/>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4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Tower, LLC, dated December 31, 2012.</w:t>
              </w:r>
            </w:hyperlink>
          </w:p>
        </w:tc>
        <w:tc>
          <w:tcPr>
            <w:tcW w:w="40" w:type="dxa"/>
            <w:vAlign w:val="bottom"/>
            <w:gridSpan w:val="2"/>
          </w:tcPr>
          <w:p>
            <w:pPr>
              <w:spacing w:after="0"/>
              <w:rPr>
                <w:sz w:val="13"/>
                <w:szCs w:val="13"/>
                <w:color w:val="auto"/>
              </w:rPr>
            </w:pPr>
          </w:p>
        </w:tc>
        <w:tc>
          <w:tcPr>
            <w:tcW w:w="420" w:type="dxa"/>
            <w:vAlign w:val="bottom"/>
            <w:gridSpan w:val="8"/>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line="243" w:lineRule="exact"/>
              <w:rPr>
                <w:sz w:val="20"/>
                <w:szCs w:val="20"/>
                <w:color w:val="auto"/>
              </w:rPr>
            </w:pPr>
            <w:r>
              <w:rPr>
                <w:rFonts w:ascii="Arial" w:cs="Arial" w:eastAsia="Arial" w:hAnsi="Arial"/>
                <w:sz w:val="18"/>
                <w:szCs w:val="18"/>
                <w:color w:val="auto"/>
              </w:rPr>
              <w:t>10.8</w:t>
            </w:r>
            <w:r>
              <w:rPr>
                <w:rFonts w:ascii="Arial" w:cs="Arial" w:eastAsia="Arial" w:hAnsi="Arial"/>
                <w:sz w:val="23"/>
                <w:szCs w:val="23"/>
                <w:color w:val="auto"/>
                <w:vertAlign w:val="superscript"/>
              </w:rPr>
              <w:t>†</w:t>
            </w:r>
          </w:p>
        </w:tc>
        <w:tc>
          <w:tcPr>
            <w:tcW w:w="3040" w:type="dxa"/>
            <w:vAlign w:val="bottom"/>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vMerge w:val="continue"/>
          </w:tcPr>
          <w:p>
            <w:pPr>
              <w:spacing w:after="0"/>
              <w:rPr>
                <w:sz w:val="19"/>
                <w:szCs w:val="19"/>
                <w:color w:val="auto"/>
              </w:rPr>
            </w:pPr>
          </w:p>
        </w:tc>
        <w:tc>
          <w:tcPr>
            <w:tcW w:w="3860" w:type="dxa"/>
            <w:vAlign w:val="bottom"/>
            <w:gridSpan w:val="25"/>
          </w:tcPr>
          <w:p>
            <w:pPr>
              <w:spacing w:after="0"/>
              <w:rPr>
                <w:rFonts w:ascii="Arial" w:cs="Arial" w:eastAsia="Arial" w:hAnsi="Arial"/>
                <w:sz w:val="18"/>
                <w:szCs w:val="18"/>
                <w:color w:val="0000FF"/>
              </w:rPr>
            </w:pPr>
            <w:hyperlink r:id="rId71">
              <w:r>
                <w:rPr>
                  <w:rFonts w:ascii="Arial" w:cs="Arial" w:eastAsia="Arial" w:hAnsi="Arial"/>
                  <w:sz w:val="18"/>
                  <w:szCs w:val="18"/>
                  <w:color w:val="0000FF"/>
                </w:rPr>
                <w:t>Fifth Amendment to Lease by and between</w:t>
              </w:r>
            </w:hyperlink>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12/31/2019</w:t>
            </w: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7"/>
              </w:rPr>
              <w:t>10.13</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2/26/2020</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4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71">
              <w:r>
                <w:rPr>
                  <w:rFonts w:ascii="Arial" w:cs="Arial" w:eastAsia="Arial" w:hAnsi="Arial"/>
                  <w:sz w:val="18"/>
                  <w:szCs w:val="18"/>
                  <w:color w:val="0000FF"/>
                </w:rPr>
                <w:t>Huron Consulting Services LLC and Union</w:t>
              </w:r>
            </w:hyperlink>
          </w:p>
        </w:tc>
        <w:tc>
          <w:tcPr>
            <w:tcW w:w="420" w:type="dxa"/>
            <w:vAlign w:val="bottom"/>
            <w:gridSpan w:val="8"/>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8"/>
              </w:rPr>
            </w:pPr>
            <w:hyperlink r:id="rId71">
              <w:r>
                <w:rPr>
                  <w:rFonts w:ascii="Arial" w:cs="Arial" w:eastAsia="Arial" w:hAnsi="Arial"/>
                  <w:sz w:val="18"/>
                  <w:szCs w:val="18"/>
                  <w:color w:val="0000FF"/>
                  <w:w w:val="98"/>
                </w:rPr>
                <w:t>Tower, LLC, dated December 1, 2013.</w:t>
              </w:r>
            </w:hyperlink>
          </w:p>
        </w:tc>
        <w:tc>
          <w:tcPr>
            <w:tcW w:w="360" w:type="dxa"/>
            <w:vAlign w:val="bottom"/>
            <w:tcBorders>
              <w:top w:val="single" w:sz="8" w:color="0000FF"/>
            </w:tcBorders>
            <w:gridSpan w:val="5"/>
          </w:tcPr>
          <w:p>
            <w:pPr>
              <w:spacing w:after="0"/>
              <w:rPr>
                <w:sz w:val="13"/>
                <w:szCs w:val="13"/>
                <w:color w:val="auto"/>
              </w:rPr>
            </w:pPr>
          </w:p>
        </w:tc>
        <w:tc>
          <w:tcPr>
            <w:tcW w:w="460" w:type="dxa"/>
            <w:vAlign w:val="bottom"/>
            <w:gridSpan w:val="10"/>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4940" w:type="dxa"/>
            <w:vAlign w:val="bottom"/>
            <w:gridSpan w:val="42"/>
          </w:tcPr>
          <w:p>
            <w:pPr>
              <w:spacing w:after="0"/>
              <w:rPr>
                <w:sz w:val="20"/>
                <w:szCs w:val="20"/>
                <w:color w:val="auto"/>
              </w:rPr>
            </w:pPr>
            <w:r>
              <w:rPr>
                <w:rFonts w:ascii="Arial" w:cs="Arial" w:eastAsia="Arial" w:hAnsi="Arial"/>
                <w:sz w:val="18"/>
                <w:szCs w:val="18"/>
                <w:color w:val="0000FF"/>
              </w:rPr>
              <w:t>Table of Contents</w:t>
            </w: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10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Incorporated by Reference</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6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Exhibit</w:t>
            </w:r>
          </w:p>
        </w:tc>
        <w:tc>
          <w:tcPr>
            <w:tcW w:w="3880" w:type="dxa"/>
            <w:vAlign w:val="bottom"/>
            <w:gridSpan w:val="41"/>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8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Filed</w:t>
            </w:r>
          </w:p>
        </w:tc>
        <w:tc>
          <w:tcPr>
            <w:tcW w:w="10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8"/>
              </w:rPr>
              <w:t>Furnished</w:t>
            </w:r>
          </w:p>
        </w:tc>
        <w:tc>
          <w:tcPr>
            <w:tcW w:w="102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auto"/>
                <w:w w:val="97"/>
              </w:rPr>
              <w:t>Form</w:t>
            </w:r>
          </w:p>
        </w:tc>
        <w:tc>
          <w:tcPr>
            <w:tcW w:w="1300" w:type="dxa"/>
            <w:vAlign w:val="bottom"/>
          </w:tcPr>
          <w:p>
            <w:pPr>
              <w:jc w:val="right"/>
              <w:ind w:right="190"/>
              <w:spacing w:after="0" w:line="169" w:lineRule="exact"/>
              <w:rPr>
                <w:sz w:val="20"/>
                <w:szCs w:val="20"/>
                <w:color w:val="auto"/>
              </w:rPr>
            </w:pPr>
            <w:r>
              <w:rPr>
                <w:rFonts w:ascii="Arial" w:cs="Arial" w:eastAsia="Arial" w:hAnsi="Arial"/>
                <w:sz w:val="18"/>
                <w:szCs w:val="18"/>
                <w:b w:val="1"/>
                <w:bCs w:val="1"/>
                <w:color w:val="auto"/>
              </w:rPr>
              <w:t>Period</w:t>
            </w:r>
          </w:p>
        </w:tc>
        <w:tc>
          <w:tcPr>
            <w:tcW w:w="1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243"/>
        </w:trPr>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3880" w:type="dxa"/>
            <w:vAlign w:val="bottom"/>
            <w:tcBorders>
              <w:bottom w:val="single" w:sz="8" w:color="auto"/>
            </w:tcBorders>
            <w:gridSpan w:val="41"/>
            <w:vMerge w:val="continue"/>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1020" w:type="dxa"/>
            <w:vAlign w:val="bottom"/>
            <w:tcBorders>
              <w:bottom w:val="single" w:sz="8" w:color="auto"/>
            </w:tcBorders>
            <w:vMerge w:val="continue"/>
          </w:tcPr>
          <w:p>
            <w:pPr>
              <w:spacing w:after="0"/>
              <w:rPr>
                <w:sz w:val="21"/>
                <w:szCs w:val="21"/>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Ending</w:t>
            </w:r>
          </w:p>
        </w:tc>
        <w:tc>
          <w:tcPr>
            <w:tcW w:w="106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060" w:type="dxa"/>
            <w:vAlign w:val="bottom"/>
          </w:tcPr>
          <w:p>
            <w:pPr>
              <w:ind w:left="20"/>
              <w:spacing w:after="0" w:line="182" w:lineRule="exact"/>
              <w:rPr>
                <w:sz w:val="20"/>
                <w:szCs w:val="20"/>
                <w:color w:val="auto"/>
              </w:rPr>
            </w:pPr>
            <w:r>
              <w:rPr>
                <w:rFonts w:ascii="Arial" w:cs="Arial" w:eastAsia="Arial" w:hAnsi="Arial"/>
                <w:sz w:val="18"/>
                <w:szCs w:val="18"/>
                <w:color w:val="auto"/>
              </w:rPr>
              <w:t>10.9</w:t>
            </w:r>
          </w:p>
        </w:tc>
        <w:tc>
          <w:tcPr>
            <w:tcW w:w="3500" w:type="dxa"/>
            <w:vAlign w:val="bottom"/>
            <w:tcBorders>
              <w:bottom w:val="single" w:sz="8" w:color="0000FF"/>
            </w:tcBorders>
            <w:gridSpan w:val="24"/>
          </w:tcPr>
          <w:p>
            <w:pPr>
              <w:spacing w:after="0" w:line="182" w:lineRule="exact"/>
              <w:rPr>
                <w:rFonts w:ascii="Arial" w:cs="Arial" w:eastAsia="Arial" w:hAnsi="Arial"/>
                <w:sz w:val="18"/>
                <w:szCs w:val="18"/>
                <w:color w:val="0000FF"/>
                <w:w w:val="99"/>
              </w:rPr>
            </w:pPr>
            <w:hyperlink r:id="rId73">
              <w:r>
                <w:rPr>
                  <w:rFonts w:ascii="Arial" w:cs="Arial" w:eastAsia="Arial" w:hAnsi="Arial"/>
                  <w:sz w:val="18"/>
                  <w:szCs w:val="18"/>
                  <w:color w:val="0000FF"/>
                  <w:w w:val="99"/>
                </w:rPr>
                <w:t>Sixth Amendment to Lease by and between</w:t>
              </w:r>
            </w:hyperlink>
          </w:p>
        </w:tc>
        <w:tc>
          <w:tcPr>
            <w:tcW w:w="380" w:type="dxa"/>
            <w:vAlign w:val="bottom"/>
            <w:gridSpan w:val="17"/>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jc w:val="center"/>
              <w:ind w:left="130"/>
              <w:spacing w:after="0" w:line="182" w:lineRule="exact"/>
              <w:rPr>
                <w:sz w:val="20"/>
                <w:szCs w:val="20"/>
                <w:color w:val="auto"/>
              </w:rPr>
            </w:pPr>
            <w:r>
              <w:rPr>
                <w:rFonts w:ascii="Arial" w:cs="Arial" w:eastAsia="Arial" w:hAnsi="Arial"/>
                <w:sz w:val="18"/>
                <w:szCs w:val="18"/>
                <w:color w:val="auto"/>
                <w:w w:val="99"/>
              </w:rPr>
              <w:t>8-K</w:t>
            </w:r>
          </w:p>
        </w:tc>
        <w:tc>
          <w:tcPr>
            <w:tcW w:w="1300" w:type="dxa"/>
            <w:vAlign w:val="bottom"/>
          </w:tcPr>
          <w:p>
            <w:pPr>
              <w:spacing w:after="0"/>
              <w:rPr>
                <w:sz w:val="15"/>
                <w:szCs w:val="15"/>
                <w:color w:val="auto"/>
              </w:rPr>
            </w:pPr>
          </w:p>
        </w:tc>
        <w:tc>
          <w:tcPr>
            <w:tcW w:w="1060" w:type="dxa"/>
            <w:vAlign w:val="bottom"/>
          </w:tcPr>
          <w:p>
            <w:pPr>
              <w:jc w:val="center"/>
              <w:spacing w:after="0" w:line="182" w:lineRule="exact"/>
              <w:rPr>
                <w:sz w:val="20"/>
                <w:szCs w:val="20"/>
                <w:color w:val="auto"/>
              </w:rPr>
            </w:pPr>
            <w:r>
              <w:rPr>
                <w:rFonts w:ascii="Arial" w:cs="Arial" w:eastAsia="Arial" w:hAnsi="Arial"/>
                <w:sz w:val="18"/>
                <w:szCs w:val="18"/>
                <w:color w:val="auto"/>
              </w:rPr>
              <w:t>10.1</w:t>
            </w:r>
          </w:p>
        </w:tc>
        <w:tc>
          <w:tcPr>
            <w:tcW w:w="1020" w:type="dxa"/>
            <w:vAlign w:val="bottom"/>
          </w:tcPr>
          <w:p>
            <w:pPr>
              <w:jc w:val="center"/>
              <w:spacing w:after="0" w:line="182" w:lineRule="exact"/>
              <w:rPr>
                <w:sz w:val="20"/>
                <w:szCs w:val="20"/>
                <w:color w:val="auto"/>
              </w:rPr>
            </w:pPr>
            <w:r>
              <w:rPr>
                <w:rFonts w:ascii="Arial" w:cs="Arial" w:eastAsia="Arial" w:hAnsi="Arial"/>
                <w:sz w:val="18"/>
                <w:szCs w:val="18"/>
                <w:color w:val="auto"/>
                <w:w w:val="99"/>
              </w:rPr>
              <w:t>10/16/2019</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880" w:type="dxa"/>
            <w:vAlign w:val="bottom"/>
            <w:gridSpan w:val="41"/>
          </w:tcPr>
          <w:p>
            <w:pPr>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Huron Consulting Services LLC and Onni Van</w:t>
              </w:r>
            </w:hyperlink>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520" w:type="dxa"/>
            <w:vAlign w:val="bottom"/>
            <w:tcBorders>
              <w:top w:val="single" w:sz="8" w:color="0000FF"/>
              <w:bottom w:val="single" w:sz="8" w:color="0000FF"/>
            </w:tcBorders>
            <w:gridSpan w:val="25"/>
          </w:tcPr>
          <w:p>
            <w:pPr>
              <w:spacing w:after="0" w:line="169" w:lineRule="exact"/>
              <w:rPr>
                <w:rFonts w:ascii="Arial" w:cs="Arial" w:eastAsia="Arial" w:hAnsi="Arial"/>
                <w:sz w:val="18"/>
                <w:szCs w:val="18"/>
                <w:color w:val="0000FF"/>
                <w:w w:val="99"/>
              </w:rPr>
            </w:pPr>
            <w:hyperlink r:id="rId73">
              <w:r>
                <w:rPr>
                  <w:rFonts w:ascii="Arial" w:cs="Arial" w:eastAsia="Arial" w:hAnsi="Arial"/>
                  <w:sz w:val="18"/>
                  <w:szCs w:val="18"/>
                  <w:color w:val="0000FF"/>
                  <w:w w:val="99"/>
                </w:rPr>
                <w:t>Buren Chicago LLC, dated October 3, 2019.</w:t>
              </w:r>
            </w:hyperlink>
          </w:p>
        </w:tc>
        <w:tc>
          <w:tcPr>
            <w:tcW w:w="14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10.10*</w:t>
            </w:r>
          </w:p>
        </w:tc>
        <w:tc>
          <w:tcPr>
            <w:tcW w:w="3880" w:type="dxa"/>
            <w:vAlign w:val="bottom"/>
            <w:gridSpan w:val="41"/>
          </w:tcPr>
          <w:p>
            <w:pPr>
              <w:spacing w:after="0"/>
              <w:rPr>
                <w:rFonts w:ascii="Arial" w:cs="Arial" w:eastAsia="Arial" w:hAnsi="Arial"/>
                <w:sz w:val="18"/>
                <w:szCs w:val="18"/>
                <w:color w:val="0000FF"/>
              </w:rPr>
            </w:pPr>
            <w:hyperlink r:id="rId74">
              <w:r>
                <w:rPr>
                  <w:rFonts w:ascii="Arial" w:cs="Arial" w:eastAsia="Arial" w:hAnsi="Arial"/>
                  <w:sz w:val="18"/>
                  <w:szCs w:val="18"/>
                  <w:color w:val="0000FF"/>
                </w:rPr>
                <w:t>Form of the Huron Consulting Group Inc. 2012</w:t>
              </w:r>
            </w:hyperlink>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jc w:val="center"/>
              <w:ind w:left="150"/>
              <w:spacing w:after="0"/>
              <w:rPr>
                <w:sz w:val="20"/>
                <w:szCs w:val="20"/>
                <w:color w:val="auto"/>
              </w:rPr>
            </w:pPr>
            <w:r>
              <w:rPr>
                <w:rFonts w:ascii="Arial" w:cs="Arial" w:eastAsia="Arial" w:hAnsi="Arial"/>
                <w:sz w:val="18"/>
                <w:szCs w:val="18"/>
                <w:color w:val="auto"/>
                <w:w w:val="99"/>
              </w:rPr>
              <w:t>10-K</w:t>
            </w:r>
          </w:p>
        </w:tc>
        <w:tc>
          <w:tcPr>
            <w:tcW w:w="1300" w:type="dxa"/>
            <w:vAlign w:val="bottom"/>
          </w:tcPr>
          <w:p>
            <w:pPr>
              <w:jc w:val="right"/>
              <w:spacing w:after="0"/>
              <w:rPr>
                <w:sz w:val="20"/>
                <w:szCs w:val="20"/>
                <w:color w:val="auto"/>
              </w:rPr>
            </w:pPr>
            <w:r>
              <w:rPr>
                <w:rFonts w:ascii="Arial" w:cs="Arial" w:eastAsia="Arial" w:hAnsi="Arial"/>
                <w:sz w:val="18"/>
                <w:szCs w:val="18"/>
                <w:color w:val="auto"/>
              </w:rPr>
              <w:t>12/31/2012</w:t>
            </w: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10.20</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2/21/2013</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7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74">
              <w:r>
                <w:rPr>
                  <w:rFonts w:ascii="Arial" w:cs="Arial" w:eastAsia="Arial" w:hAnsi="Arial"/>
                  <w:sz w:val="18"/>
                  <w:szCs w:val="18"/>
                  <w:color w:val="0000FF"/>
                </w:rPr>
                <w:t>Omnibus Incentive Plan Restricted Stock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26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r:id="rId74">
              <w:r>
                <w:rPr>
                  <w:rFonts w:ascii="Arial" w:cs="Arial" w:eastAsia="Arial" w:hAnsi="Arial"/>
                  <w:sz w:val="18"/>
                  <w:szCs w:val="18"/>
                  <w:color w:val="0000FF"/>
                </w:rPr>
                <w:t>Agreement.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10.11*</w:t>
            </w:r>
          </w:p>
        </w:tc>
        <w:tc>
          <w:tcPr>
            <w:tcW w:w="3700" w:type="dxa"/>
            <w:vAlign w:val="bottom"/>
            <w:tcBorders>
              <w:bottom w:val="single" w:sz="8" w:color="0000FF"/>
            </w:tcBorders>
            <w:gridSpan w:val="33"/>
          </w:tcPr>
          <w:p>
            <w:pPr>
              <w:spacing w:after="0"/>
              <w:rPr>
                <w:rFonts w:ascii="Arial" w:cs="Arial" w:eastAsia="Arial" w:hAnsi="Arial"/>
                <w:sz w:val="18"/>
                <w:szCs w:val="18"/>
                <w:color w:val="0000FF"/>
                <w:w w:val="99"/>
              </w:rPr>
            </w:pPr>
            <w:hyperlink r:id="rId75">
              <w:r>
                <w:rPr>
                  <w:rFonts w:ascii="Arial" w:cs="Arial" w:eastAsia="Arial" w:hAnsi="Arial"/>
                  <w:sz w:val="18"/>
                  <w:szCs w:val="18"/>
                  <w:color w:val="0000FF"/>
                  <w:w w:val="99"/>
                </w:rPr>
                <w:t>Form of the Huron Consulting Group Inc. 2012</w:t>
              </w:r>
            </w:hyperlink>
          </w:p>
        </w:tc>
        <w:tc>
          <w:tcPr>
            <w:tcW w:w="180" w:type="dxa"/>
            <w:vAlign w:val="bottom"/>
            <w:gridSpan w:val="8"/>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jc w:val="center"/>
              <w:ind w:left="150"/>
              <w:spacing w:after="0"/>
              <w:rPr>
                <w:sz w:val="20"/>
                <w:szCs w:val="20"/>
                <w:color w:val="auto"/>
              </w:rPr>
            </w:pPr>
            <w:r>
              <w:rPr>
                <w:rFonts w:ascii="Arial" w:cs="Arial" w:eastAsia="Arial" w:hAnsi="Arial"/>
                <w:sz w:val="18"/>
                <w:szCs w:val="18"/>
                <w:color w:val="auto"/>
                <w:w w:val="99"/>
              </w:rPr>
              <w:t>10-K</w:t>
            </w:r>
          </w:p>
        </w:tc>
        <w:tc>
          <w:tcPr>
            <w:tcW w:w="1300" w:type="dxa"/>
            <w:vAlign w:val="bottom"/>
          </w:tcPr>
          <w:p>
            <w:pPr>
              <w:jc w:val="right"/>
              <w:spacing w:after="0"/>
              <w:rPr>
                <w:sz w:val="20"/>
                <w:szCs w:val="20"/>
                <w:color w:val="auto"/>
              </w:rPr>
            </w:pPr>
            <w:r>
              <w:rPr>
                <w:rFonts w:ascii="Arial" w:cs="Arial" w:eastAsia="Arial" w:hAnsi="Arial"/>
                <w:sz w:val="18"/>
                <w:szCs w:val="18"/>
                <w:color w:val="auto"/>
              </w:rPr>
              <w:t>12/31/2014</w:t>
            </w: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10.32</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2/24/2015</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880" w:type="dxa"/>
            <w:vAlign w:val="bottom"/>
            <w:gridSpan w:val="41"/>
          </w:tcPr>
          <w:p>
            <w:pPr>
              <w:spacing w:after="0" w:line="156" w:lineRule="exact"/>
              <w:rPr>
                <w:rFonts w:ascii="Arial" w:cs="Arial" w:eastAsia="Arial" w:hAnsi="Arial"/>
                <w:sz w:val="18"/>
                <w:szCs w:val="18"/>
                <w:color w:val="0000FF"/>
              </w:rPr>
            </w:pPr>
            <w:hyperlink r:id="rId75">
              <w:r>
                <w:rPr>
                  <w:rFonts w:ascii="Arial" w:cs="Arial" w:eastAsia="Arial" w:hAnsi="Arial"/>
                  <w:sz w:val="18"/>
                  <w:szCs w:val="18"/>
                  <w:color w:val="0000FF"/>
                </w:rPr>
                <w:t>Omnibus Incentive Plan Performance Stock Unit</w:t>
              </w:r>
            </w:hyperlink>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840" w:type="dxa"/>
            <w:vAlign w:val="bottom"/>
            <w:tcBorders>
              <w:top w:val="single" w:sz="8" w:color="0000FF"/>
            </w:tcBorders>
            <w:gridSpan w:val="39"/>
          </w:tcPr>
          <w:p>
            <w:pPr>
              <w:spacing w:after="0" w:line="169" w:lineRule="exact"/>
              <w:rPr>
                <w:rFonts w:ascii="Arial" w:cs="Arial" w:eastAsia="Arial" w:hAnsi="Arial"/>
                <w:sz w:val="18"/>
                <w:szCs w:val="18"/>
                <w:color w:val="0000FF"/>
              </w:rPr>
            </w:pPr>
            <w:hyperlink r:id="rId75">
              <w:r>
                <w:rPr>
                  <w:rFonts w:ascii="Arial" w:cs="Arial" w:eastAsia="Arial" w:hAnsi="Arial"/>
                  <w:sz w:val="18"/>
                  <w:szCs w:val="18"/>
                  <w:color w:val="0000FF"/>
                </w:rPr>
                <w:t>Agreement.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10.12*</w:t>
            </w:r>
          </w:p>
        </w:tc>
        <w:tc>
          <w:tcPr>
            <w:tcW w:w="3880" w:type="dxa"/>
            <w:vAlign w:val="bottom"/>
            <w:gridSpan w:val="41"/>
          </w:tcPr>
          <w:p>
            <w:pPr>
              <w:spacing w:after="0"/>
              <w:rPr>
                <w:rFonts w:ascii="Arial" w:cs="Arial" w:eastAsia="Arial" w:hAnsi="Arial"/>
                <w:sz w:val="18"/>
                <w:szCs w:val="18"/>
                <w:color w:val="0000FF"/>
              </w:rPr>
            </w:pPr>
            <w:hyperlink r:id="rId76">
              <w:r>
                <w:rPr>
                  <w:rFonts w:ascii="Arial" w:cs="Arial" w:eastAsia="Arial" w:hAnsi="Arial"/>
                  <w:sz w:val="18"/>
                  <w:szCs w:val="18"/>
                  <w:color w:val="0000FF"/>
                </w:rPr>
                <w:t>Form of the Huron Consulting Group Inc. 2012</w:t>
              </w:r>
            </w:hyperlink>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jc w:val="center"/>
              <w:ind w:left="150"/>
              <w:spacing w:after="0"/>
              <w:rPr>
                <w:sz w:val="20"/>
                <w:szCs w:val="20"/>
                <w:color w:val="auto"/>
              </w:rPr>
            </w:pPr>
            <w:r>
              <w:rPr>
                <w:rFonts w:ascii="Arial" w:cs="Arial" w:eastAsia="Arial" w:hAnsi="Arial"/>
                <w:sz w:val="18"/>
                <w:szCs w:val="18"/>
                <w:color w:val="auto"/>
                <w:w w:val="99"/>
              </w:rPr>
              <w:t>10-K</w:t>
            </w:r>
          </w:p>
        </w:tc>
        <w:tc>
          <w:tcPr>
            <w:tcW w:w="1300" w:type="dxa"/>
            <w:vAlign w:val="bottom"/>
          </w:tcPr>
          <w:p>
            <w:pPr>
              <w:jc w:val="right"/>
              <w:spacing w:after="0"/>
              <w:rPr>
                <w:sz w:val="20"/>
                <w:szCs w:val="20"/>
                <w:color w:val="auto"/>
              </w:rPr>
            </w:pPr>
            <w:r>
              <w:rPr>
                <w:rFonts w:ascii="Arial" w:cs="Arial" w:eastAsia="Arial" w:hAnsi="Arial"/>
                <w:sz w:val="18"/>
                <w:szCs w:val="18"/>
                <w:color w:val="auto"/>
              </w:rPr>
              <w:t>12/31/2014</w:t>
            </w: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10.33</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2/24/2015</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7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76">
              <w:r>
                <w:rPr>
                  <w:rFonts w:ascii="Arial" w:cs="Arial" w:eastAsia="Arial" w:hAnsi="Arial"/>
                  <w:sz w:val="18"/>
                  <w:szCs w:val="18"/>
                  <w:color w:val="0000FF"/>
                </w:rPr>
                <w:t>Omnibus Incentive Plan Stock Option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298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r:id="rId76">
              <w:r>
                <w:rPr>
                  <w:rFonts w:ascii="Arial" w:cs="Arial" w:eastAsia="Arial" w:hAnsi="Arial"/>
                  <w:sz w:val="18"/>
                  <w:szCs w:val="18"/>
                  <w:color w:val="0000FF"/>
                </w:rPr>
                <w:t>Agreement.</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10.13*</w:t>
            </w:r>
          </w:p>
        </w:tc>
        <w:tc>
          <w:tcPr>
            <w:tcW w:w="3880" w:type="dxa"/>
            <w:vAlign w:val="bottom"/>
            <w:gridSpan w:val="41"/>
          </w:tcPr>
          <w:p>
            <w:pPr>
              <w:spacing w:after="0"/>
              <w:rPr>
                <w:rFonts w:ascii="Arial" w:cs="Arial" w:eastAsia="Arial" w:hAnsi="Arial"/>
                <w:sz w:val="18"/>
                <w:szCs w:val="18"/>
                <w:color w:val="0000FF"/>
              </w:rPr>
            </w:pPr>
            <w:hyperlink r:id="rId77">
              <w:r>
                <w:rPr>
                  <w:rFonts w:ascii="Arial" w:cs="Arial" w:eastAsia="Arial" w:hAnsi="Arial"/>
                  <w:sz w:val="18"/>
                  <w:szCs w:val="18"/>
                  <w:color w:val="0000FF"/>
                </w:rPr>
                <w:t>Form of the Huron Consulting Group Inc. 2012</w:t>
              </w:r>
            </w:hyperlink>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jc w:val="center"/>
              <w:ind w:left="150"/>
              <w:spacing w:after="0"/>
              <w:rPr>
                <w:sz w:val="20"/>
                <w:szCs w:val="20"/>
                <w:color w:val="auto"/>
              </w:rPr>
            </w:pPr>
            <w:r>
              <w:rPr>
                <w:rFonts w:ascii="Arial" w:cs="Arial" w:eastAsia="Arial" w:hAnsi="Arial"/>
                <w:sz w:val="18"/>
                <w:szCs w:val="18"/>
                <w:color w:val="auto"/>
                <w:w w:val="99"/>
              </w:rPr>
              <w:t>10-K</w:t>
            </w:r>
          </w:p>
        </w:tc>
        <w:tc>
          <w:tcPr>
            <w:tcW w:w="1300" w:type="dxa"/>
            <w:vAlign w:val="bottom"/>
          </w:tcPr>
          <w:p>
            <w:pPr>
              <w:jc w:val="right"/>
              <w:spacing w:after="0"/>
              <w:rPr>
                <w:sz w:val="20"/>
                <w:szCs w:val="20"/>
                <w:color w:val="auto"/>
              </w:rPr>
            </w:pPr>
            <w:r>
              <w:rPr>
                <w:rFonts w:ascii="Arial" w:cs="Arial" w:eastAsia="Arial" w:hAnsi="Arial"/>
                <w:sz w:val="18"/>
                <w:szCs w:val="18"/>
                <w:color w:val="auto"/>
              </w:rPr>
              <w:t>12/31/2014</w:t>
            </w: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10.34</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2/24/2015</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7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77">
              <w:r>
                <w:rPr>
                  <w:rFonts w:ascii="Arial" w:cs="Arial" w:eastAsia="Arial" w:hAnsi="Arial"/>
                  <w:sz w:val="18"/>
                  <w:szCs w:val="18"/>
                  <w:color w:val="0000FF"/>
                </w:rPr>
                <w:t>Omnibus Incentive Plan NEO Performance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80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8"/>
              </w:rPr>
            </w:pPr>
            <w:hyperlink r:id="rId77">
              <w:r>
                <w:rPr>
                  <w:rFonts w:ascii="Arial" w:cs="Arial" w:eastAsia="Arial" w:hAnsi="Arial"/>
                  <w:sz w:val="18"/>
                  <w:szCs w:val="18"/>
                  <w:color w:val="0000FF"/>
                  <w:w w:val="98"/>
                </w:rPr>
                <w:t>Stock Unit Agreement.</w:t>
              </w:r>
            </w:hyperlink>
          </w:p>
        </w:tc>
        <w:tc>
          <w:tcPr>
            <w:tcW w:w="162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10.14*</w:t>
            </w:r>
          </w:p>
        </w:tc>
        <w:tc>
          <w:tcPr>
            <w:tcW w:w="3880" w:type="dxa"/>
            <w:vAlign w:val="bottom"/>
            <w:gridSpan w:val="41"/>
          </w:tcPr>
          <w:p>
            <w:pPr>
              <w:spacing w:after="0"/>
              <w:rPr>
                <w:rFonts w:ascii="Arial" w:cs="Arial" w:eastAsia="Arial" w:hAnsi="Arial"/>
                <w:sz w:val="18"/>
                <w:szCs w:val="18"/>
                <w:color w:val="0000FF"/>
              </w:rPr>
            </w:pPr>
            <w:hyperlink r:id="rId78">
              <w:r>
                <w:rPr>
                  <w:rFonts w:ascii="Arial" w:cs="Arial" w:eastAsia="Arial" w:hAnsi="Arial"/>
                  <w:sz w:val="18"/>
                  <w:szCs w:val="18"/>
                  <w:color w:val="0000FF"/>
                </w:rPr>
                <w:t>Huron Consulting Group Inc. 2012 Omnibus</w:t>
              </w:r>
            </w:hyperlink>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jc w:val="center"/>
              <w:ind w:left="150"/>
              <w:spacing w:after="0"/>
              <w:rPr>
                <w:sz w:val="20"/>
                <w:szCs w:val="20"/>
                <w:color w:val="auto"/>
              </w:rPr>
            </w:pPr>
            <w:r>
              <w:rPr>
                <w:rFonts w:ascii="Arial" w:cs="Arial" w:eastAsia="Arial" w:hAnsi="Arial"/>
                <w:sz w:val="18"/>
                <w:szCs w:val="18"/>
                <w:color w:val="auto"/>
                <w:w w:val="99"/>
              </w:rPr>
              <w:t>10-K</w:t>
            </w:r>
          </w:p>
        </w:tc>
        <w:tc>
          <w:tcPr>
            <w:tcW w:w="1300" w:type="dxa"/>
            <w:vAlign w:val="bottom"/>
          </w:tcPr>
          <w:p>
            <w:pPr>
              <w:jc w:val="center"/>
              <w:ind w:left="110"/>
              <w:spacing w:after="0"/>
              <w:rPr>
                <w:sz w:val="20"/>
                <w:szCs w:val="20"/>
                <w:color w:val="auto"/>
              </w:rPr>
            </w:pPr>
            <w:r>
              <w:rPr>
                <w:rFonts w:ascii="Arial" w:cs="Arial" w:eastAsia="Arial" w:hAnsi="Arial"/>
                <w:sz w:val="18"/>
                <w:szCs w:val="18"/>
                <w:color w:val="auto"/>
                <w:w w:val="99"/>
              </w:rPr>
              <w:t>12/31/2019</w:t>
            </w: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10.34</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2/26/2020</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5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78">
              <w:r>
                <w:rPr>
                  <w:rFonts w:ascii="Arial" w:cs="Arial" w:eastAsia="Arial" w:hAnsi="Arial"/>
                  <w:sz w:val="18"/>
                  <w:szCs w:val="18"/>
                  <w:color w:val="0000FF"/>
                </w:rPr>
                <w:t>Incentive Plan, as amended and restated</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28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78">
              <w:r>
                <w:rPr>
                  <w:rFonts w:ascii="Arial" w:cs="Arial" w:eastAsia="Arial" w:hAnsi="Arial"/>
                  <w:sz w:val="18"/>
                  <w:szCs w:val="18"/>
                  <w:color w:val="0000FF"/>
                </w:rPr>
                <w:t>effective February 13, 2020.</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10.15*</w:t>
            </w:r>
          </w:p>
        </w:tc>
        <w:tc>
          <w:tcPr>
            <w:tcW w:w="3880" w:type="dxa"/>
            <w:vAlign w:val="bottom"/>
            <w:tcBorders>
              <w:bottom w:val="single" w:sz="8" w:color="0000FF"/>
            </w:tcBorders>
            <w:gridSpan w:val="41"/>
          </w:tcPr>
          <w:p>
            <w:pPr>
              <w:spacing w:after="0"/>
              <w:rPr>
                <w:rFonts w:ascii="Arial" w:cs="Arial" w:eastAsia="Arial" w:hAnsi="Arial"/>
                <w:sz w:val="18"/>
                <w:szCs w:val="18"/>
                <w:color w:val="0000FF"/>
                <w:w w:val="99"/>
              </w:rPr>
            </w:pPr>
            <w:hyperlink r:id="rId79">
              <w:r>
                <w:rPr>
                  <w:rFonts w:ascii="Arial" w:cs="Arial" w:eastAsia="Arial" w:hAnsi="Arial"/>
                  <w:sz w:val="18"/>
                  <w:szCs w:val="18"/>
                  <w:color w:val="0000FF"/>
                  <w:w w:val="99"/>
                </w:rPr>
                <w:t>Senior Management Agreement by and between</w:t>
              </w:r>
            </w:hyperlink>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jc w:val="center"/>
              <w:ind w:left="130"/>
              <w:spacing w:after="0"/>
              <w:rPr>
                <w:sz w:val="20"/>
                <w:szCs w:val="20"/>
                <w:color w:val="auto"/>
              </w:rPr>
            </w:pPr>
            <w:r>
              <w:rPr>
                <w:rFonts w:ascii="Arial" w:cs="Arial" w:eastAsia="Arial" w:hAnsi="Arial"/>
                <w:sz w:val="18"/>
                <w:szCs w:val="18"/>
                <w:color w:val="auto"/>
                <w:w w:val="99"/>
              </w:rPr>
              <w:t>10-Q</w:t>
            </w:r>
          </w:p>
        </w:tc>
        <w:tc>
          <w:tcPr>
            <w:tcW w:w="1300" w:type="dxa"/>
            <w:vAlign w:val="bottom"/>
          </w:tcPr>
          <w:p>
            <w:pPr>
              <w:jc w:val="center"/>
              <w:ind w:left="90"/>
              <w:spacing w:after="0"/>
              <w:rPr>
                <w:sz w:val="20"/>
                <w:szCs w:val="20"/>
                <w:color w:val="auto"/>
              </w:rPr>
            </w:pPr>
            <w:r>
              <w:rPr>
                <w:rFonts w:ascii="Arial" w:cs="Arial" w:eastAsia="Arial" w:hAnsi="Arial"/>
                <w:sz w:val="18"/>
                <w:szCs w:val="18"/>
                <w:color w:val="auto"/>
                <w:w w:val="99"/>
              </w:rPr>
              <w:t>3/31/2020</w:t>
            </w:r>
          </w:p>
        </w:tc>
        <w:tc>
          <w:tcPr>
            <w:tcW w:w="1060" w:type="dxa"/>
            <w:vAlign w:val="bottom"/>
          </w:tcPr>
          <w:p>
            <w:pPr>
              <w:jc w:val="center"/>
              <w:spacing w:after="0"/>
              <w:rPr>
                <w:sz w:val="20"/>
                <w:szCs w:val="20"/>
                <w:color w:val="auto"/>
              </w:rPr>
            </w:pPr>
            <w:r>
              <w:rPr>
                <w:rFonts w:ascii="Arial" w:cs="Arial" w:eastAsia="Arial" w:hAnsi="Arial"/>
                <w:sz w:val="18"/>
                <w:szCs w:val="18"/>
                <w:color w:val="auto"/>
              </w:rPr>
              <w:t>10.1</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4/30/2020</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880" w:type="dxa"/>
            <w:vAlign w:val="bottom"/>
            <w:gridSpan w:val="41"/>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Huron Consulting Group Inc. and Ernest W.</w:t>
              </w:r>
            </w:hyperlink>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78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3"/>
              </w:rPr>
            </w:pPr>
            <w:hyperlink r:id="rId79">
              <w:r>
                <w:rPr>
                  <w:rFonts w:ascii="Arial" w:cs="Arial" w:eastAsia="Arial" w:hAnsi="Arial"/>
                  <w:sz w:val="18"/>
                  <w:szCs w:val="18"/>
                  <w:color w:val="0000FF"/>
                  <w:w w:val="93"/>
                </w:rPr>
                <w:t>Torain, Jr.</w:t>
              </w:r>
            </w:hyperlink>
          </w:p>
        </w:tc>
        <w:tc>
          <w:tcPr>
            <w:tcW w:w="2700" w:type="dxa"/>
            <w:vAlign w:val="bottom"/>
            <w:tcBorders>
              <w:top w:val="single" w:sz="8" w:color="0000FF"/>
            </w:tcBorders>
            <w:gridSpan w:val="19"/>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10.16*</w:t>
            </w:r>
          </w:p>
        </w:tc>
        <w:tc>
          <w:tcPr>
            <w:tcW w:w="3880" w:type="dxa"/>
            <w:vAlign w:val="bottom"/>
            <w:gridSpan w:val="41"/>
          </w:tcPr>
          <w:p>
            <w:pPr>
              <w:spacing w:after="0"/>
              <w:rPr>
                <w:rFonts w:ascii="Arial" w:cs="Arial" w:eastAsia="Arial" w:hAnsi="Arial"/>
                <w:sz w:val="18"/>
                <w:szCs w:val="18"/>
                <w:color w:val="0000FF"/>
              </w:rPr>
            </w:pPr>
            <w:hyperlink r:id="rId80">
              <w:r>
                <w:rPr>
                  <w:rFonts w:ascii="Arial" w:cs="Arial" w:eastAsia="Arial" w:hAnsi="Arial"/>
                  <w:sz w:val="18"/>
                  <w:szCs w:val="18"/>
                  <w:color w:val="0000FF"/>
                </w:rPr>
                <w:t>Amendment to the Huron Consulting Group Inc.</w:t>
              </w:r>
            </w:hyperlink>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jc w:val="center"/>
              <w:ind w:left="130"/>
              <w:spacing w:after="0"/>
              <w:rPr>
                <w:sz w:val="20"/>
                <w:szCs w:val="20"/>
                <w:color w:val="auto"/>
              </w:rPr>
            </w:pPr>
            <w:r>
              <w:rPr>
                <w:rFonts w:ascii="Arial" w:cs="Arial" w:eastAsia="Arial" w:hAnsi="Arial"/>
                <w:sz w:val="18"/>
                <w:szCs w:val="18"/>
                <w:color w:val="auto"/>
                <w:w w:val="98"/>
              </w:rPr>
              <w:t>DEF 14A</w:t>
            </w:r>
          </w:p>
        </w:tc>
        <w:tc>
          <w:tcPr>
            <w:tcW w:w="13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Appendix A</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3/26/2020</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24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80">
              <w:r>
                <w:rPr>
                  <w:rFonts w:ascii="Arial" w:cs="Arial" w:eastAsia="Arial" w:hAnsi="Arial"/>
                  <w:sz w:val="18"/>
                  <w:szCs w:val="18"/>
                  <w:color w:val="0000FF"/>
                  <w:w w:val="99"/>
                </w:rPr>
                <w:t>2012 Omnibus Incentive Plan.</w:t>
              </w:r>
            </w:hyperlink>
          </w:p>
        </w:tc>
        <w:tc>
          <w:tcPr>
            <w:tcW w:w="1400" w:type="dxa"/>
            <w:vAlign w:val="bottom"/>
            <w:tcBorders>
              <w:top w:val="single" w:sz="8" w:color="0000FF"/>
            </w:tcBorders>
            <w:gridSpan w:val="2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20"/>
              <w:spacing w:after="0"/>
              <w:rPr>
                <w:sz w:val="20"/>
                <w:szCs w:val="20"/>
                <w:color w:val="auto"/>
              </w:rPr>
            </w:pPr>
            <w:r>
              <w:rPr>
                <w:rFonts w:ascii="Arial" w:cs="Arial" w:eastAsia="Arial" w:hAnsi="Arial"/>
                <w:sz w:val="18"/>
                <w:szCs w:val="18"/>
                <w:color w:val="auto"/>
              </w:rPr>
              <w:t>10.17*</w:t>
            </w:r>
          </w:p>
        </w:tc>
        <w:tc>
          <w:tcPr>
            <w:tcW w:w="3000" w:type="dxa"/>
            <w:vAlign w:val="bottom"/>
            <w:tcBorders>
              <w:bottom w:val="single" w:sz="8" w:color="0000FF"/>
            </w:tcBorders>
            <w:gridSpan w:val="13"/>
          </w:tcPr>
          <w:p>
            <w:pPr>
              <w:spacing w:after="0"/>
              <w:rPr>
                <w:rFonts w:ascii="Arial" w:cs="Arial" w:eastAsia="Arial" w:hAnsi="Arial"/>
                <w:sz w:val="18"/>
                <w:szCs w:val="18"/>
                <w:color w:val="0000FF"/>
                <w:w w:val="99"/>
              </w:rPr>
            </w:pPr>
            <w:hyperlink r:id="rId81">
              <w:r>
                <w:rPr>
                  <w:rFonts w:ascii="Arial" w:cs="Arial" w:eastAsia="Arial" w:hAnsi="Arial"/>
                  <w:sz w:val="18"/>
                  <w:szCs w:val="18"/>
                  <w:color w:val="0000FF"/>
                  <w:w w:val="99"/>
                </w:rPr>
                <w:t>Form of Retention Bonus Agreement.</w:t>
              </w:r>
            </w:hyperlink>
          </w:p>
        </w:tc>
        <w:tc>
          <w:tcPr>
            <w:tcW w:w="880" w:type="dxa"/>
            <w:vAlign w:val="bottom"/>
            <w:gridSpan w:val="28"/>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10.1</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4/14/2021</w:t>
            </w:r>
          </w:p>
        </w:tc>
        <w:tc>
          <w:tcPr>
            <w:tcW w:w="0" w:type="dxa"/>
            <w:vAlign w:val="bottom"/>
          </w:tcPr>
          <w:p>
            <w:pPr>
              <w:spacing w:after="0"/>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10.18*</w:t>
            </w:r>
          </w:p>
        </w:tc>
        <w:tc>
          <w:tcPr>
            <w:tcW w:w="3880" w:type="dxa"/>
            <w:vAlign w:val="bottom"/>
            <w:gridSpan w:val="41"/>
          </w:tcPr>
          <w:p>
            <w:pPr>
              <w:spacing w:after="0"/>
              <w:rPr>
                <w:rFonts w:ascii="Arial" w:cs="Arial" w:eastAsia="Arial" w:hAnsi="Arial"/>
                <w:sz w:val="18"/>
                <w:szCs w:val="18"/>
                <w:color w:val="0000FF"/>
              </w:rPr>
            </w:pPr>
            <w:hyperlink r:id="rId82">
              <w:r>
                <w:rPr>
                  <w:rFonts w:ascii="Arial" w:cs="Arial" w:eastAsia="Arial" w:hAnsi="Arial"/>
                  <w:sz w:val="18"/>
                  <w:szCs w:val="18"/>
                  <w:color w:val="0000FF"/>
                </w:rPr>
                <w:t>Amendment to the Huron Consulting Group Inc.</w:t>
              </w:r>
            </w:hyperlink>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jc w:val="center"/>
              <w:ind w:left="130"/>
              <w:spacing w:after="0"/>
              <w:rPr>
                <w:sz w:val="20"/>
                <w:szCs w:val="20"/>
                <w:color w:val="auto"/>
              </w:rPr>
            </w:pPr>
            <w:r>
              <w:rPr>
                <w:rFonts w:ascii="Arial" w:cs="Arial" w:eastAsia="Arial" w:hAnsi="Arial"/>
                <w:sz w:val="18"/>
                <w:szCs w:val="18"/>
                <w:color w:val="auto"/>
                <w:w w:val="98"/>
              </w:rPr>
              <w:t>DEF 14A</w:t>
            </w:r>
          </w:p>
        </w:tc>
        <w:tc>
          <w:tcPr>
            <w:tcW w:w="13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Appendix A</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3/26/2021</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24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82">
              <w:r>
                <w:rPr>
                  <w:rFonts w:ascii="Arial" w:cs="Arial" w:eastAsia="Arial" w:hAnsi="Arial"/>
                  <w:sz w:val="18"/>
                  <w:szCs w:val="18"/>
                  <w:color w:val="0000FF"/>
                  <w:w w:val="99"/>
                </w:rPr>
                <w:t>2012 Omnibus Incentive Plan.</w:t>
              </w:r>
            </w:hyperlink>
          </w:p>
        </w:tc>
        <w:tc>
          <w:tcPr>
            <w:tcW w:w="1420" w:type="dxa"/>
            <w:vAlign w:val="bottom"/>
            <w:tcBorders>
              <w:top w:val="single" w:sz="8" w:color="0000FF"/>
            </w:tcBorders>
            <w:gridSpan w:val="30"/>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20"/>
              <w:spacing w:after="0"/>
              <w:rPr>
                <w:sz w:val="20"/>
                <w:szCs w:val="20"/>
                <w:color w:val="auto"/>
              </w:rPr>
            </w:pPr>
            <w:r>
              <w:rPr>
                <w:rFonts w:ascii="Arial" w:cs="Arial" w:eastAsia="Arial" w:hAnsi="Arial"/>
                <w:sz w:val="18"/>
                <w:szCs w:val="18"/>
                <w:color w:val="auto"/>
              </w:rPr>
              <w:t>10.19*</w:t>
            </w:r>
          </w:p>
        </w:tc>
        <w:tc>
          <w:tcPr>
            <w:tcW w:w="3880" w:type="dxa"/>
            <w:vAlign w:val="bottom"/>
            <w:gridSpan w:val="41"/>
          </w:tcPr>
          <w:p>
            <w:pPr>
              <w:spacing w:after="0"/>
              <w:rPr>
                <w:rFonts w:ascii="Arial" w:cs="Arial" w:eastAsia="Arial" w:hAnsi="Arial"/>
                <w:sz w:val="18"/>
                <w:szCs w:val="18"/>
                <w:color w:val="0000FF"/>
              </w:rPr>
            </w:pPr>
            <w:hyperlink r:id="rId83">
              <w:r>
                <w:rPr>
                  <w:rFonts w:ascii="Arial" w:cs="Arial" w:eastAsia="Arial" w:hAnsi="Arial"/>
                  <w:sz w:val="18"/>
                  <w:szCs w:val="18"/>
                  <w:color w:val="0000FF"/>
                </w:rPr>
                <w:t>Form of the Huron Consulting Group Inc. 2012</w:t>
              </w:r>
            </w:hyperlink>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jc w:val="center"/>
              <w:ind w:left="130"/>
              <w:spacing w:after="0"/>
              <w:rPr>
                <w:sz w:val="20"/>
                <w:szCs w:val="20"/>
                <w:color w:val="auto"/>
              </w:rPr>
            </w:pPr>
            <w:r>
              <w:rPr>
                <w:rFonts w:ascii="Arial" w:cs="Arial" w:eastAsia="Arial" w:hAnsi="Arial"/>
                <w:sz w:val="18"/>
                <w:szCs w:val="18"/>
                <w:color w:val="auto"/>
                <w:w w:val="99"/>
              </w:rPr>
              <w:t>10-Q</w:t>
            </w:r>
          </w:p>
        </w:tc>
        <w:tc>
          <w:tcPr>
            <w:tcW w:w="1300" w:type="dxa"/>
            <w:vAlign w:val="bottom"/>
          </w:tcPr>
          <w:p>
            <w:pPr>
              <w:jc w:val="center"/>
              <w:ind w:left="90"/>
              <w:spacing w:after="0"/>
              <w:rPr>
                <w:sz w:val="20"/>
                <w:szCs w:val="20"/>
                <w:color w:val="auto"/>
              </w:rPr>
            </w:pPr>
            <w:r>
              <w:rPr>
                <w:rFonts w:ascii="Arial" w:cs="Arial" w:eastAsia="Arial" w:hAnsi="Arial"/>
                <w:sz w:val="18"/>
                <w:szCs w:val="18"/>
                <w:color w:val="auto"/>
                <w:w w:val="99"/>
              </w:rPr>
              <w:t>9/30/2021</w:t>
            </w:r>
          </w:p>
        </w:tc>
        <w:tc>
          <w:tcPr>
            <w:tcW w:w="1060" w:type="dxa"/>
            <w:vAlign w:val="bottom"/>
          </w:tcPr>
          <w:p>
            <w:pPr>
              <w:jc w:val="center"/>
              <w:spacing w:after="0"/>
              <w:rPr>
                <w:sz w:val="20"/>
                <w:szCs w:val="20"/>
                <w:color w:val="auto"/>
              </w:rPr>
            </w:pPr>
            <w:r>
              <w:rPr>
                <w:rFonts w:ascii="Arial" w:cs="Arial" w:eastAsia="Arial" w:hAnsi="Arial"/>
                <w:sz w:val="18"/>
                <w:szCs w:val="18"/>
                <w:color w:val="auto"/>
              </w:rPr>
              <w:t>10.1</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11/2/2021</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7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Omnibus Incentive Plan Restricted Stock Unit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640" w:type="dxa"/>
            <w:vAlign w:val="bottom"/>
            <w:tcBorders>
              <w:top w:val="single" w:sz="8" w:color="0000FF"/>
            </w:tcBorders>
            <w:gridSpan w:val="30"/>
          </w:tcPr>
          <w:p>
            <w:pPr>
              <w:spacing w:after="0" w:line="169" w:lineRule="exact"/>
              <w:rPr>
                <w:rFonts w:ascii="Arial" w:cs="Arial" w:eastAsia="Arial" w:hAnsi="Arial"/>
                <w:sz w:val="18"/>
                <w:szCs w:val="18"/>
                <w:color w:val="0000FF"/>
              </w:rPr>
            </w:pPr>
            <w:hyperlink r:id="rId83">
              <w:r>
                <w:rPr>
                  <w:rFonts w:ascii="Arial" w:cs="Arial" w:eastAsia="Arial" w:hAnsi="Arial"/>
                  <w:sz w:val="18"/>
                  <w:szCs w:val="18"/>
                  <w:color w:val="0000FF"/>
                </w:rPr>
                <w:t>Agreement.</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10.20*</w:t>
            </w:r>
          </w:p>
        </w:tc>
        <w:tc>
          <w:tcPr>
            <w:tcW w:w="3880" w:type="dxa"/>
            <w:vAlign w:val="bottom"/>
            <w:tcBorders>
              <w:bottom w:val="single" w:sz="8" w:color="0000FF"/>
            </w:tcBorders>
            <w:gridSpan w:val="41"/>
          </w:tcPr>
          <w:p>
            <w:pPr>
              <w:spacing w:after="0"/>
              <w:rPr>
                <w:rFonts w:ascii="Arial" w:cs="Arial" w:eastAsia="Arial" w:hAnsi="Arial"/>
                <w:sz w:val="18"/>
                <w:szCs w:val="18"/>
                <w:color w:val="0000FF"/>
                <w:w w:val="99"/>
              </w:rPr>
            </w:pPr>
            <w:hyperlink r:id="rId84">
              <w:r>
                <w:rPr>
                  <w:rFonts w:ascii="Arial" w:cs="Arial" w:eastAsia="Arial" w:hAnsi="Arial"/>
                  <w:sz w:val="18"/>
                  <w:szCs w:val="18"/>
                  <w:color w:val="0000FF"/>
                  <w:w w:val="99"/>
                </w:rPr>
                <w:t>Senior Management Agreement by and between</w:t>
              </w:r>
            </w:hyperlink>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10.1</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6/7/2022</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880" w:type="dxa"/>
            <w:vAlign w:val="bottom"/>
            <w:gridSpan w:val="41"/>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Huron Consulting Group Inc. and James R. Dail</w:t>
              </w:r>
            </w:hyperlink>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800" w:type="dxa"/>
            <w:vAlign w:val="bottom"/>
            <w:tcBorders>
              <w:top w:val="single" w:sz="8" w:color="0000FF"/>
            </w:tcBorders>
            <w:gridSpan w:val="37"/>
          </w:tcPr>
          <w:p>
            <w:pPr>
              <w:spacing w:after="0" w:line="169" w:lineRule="exact"/>
              <w:rPr>
                <w:rFonts w:ascii="Arial" w:cs="Arial" w:eastAsia="Arial" w:hAnsi="Arial"/>
                <w:sz w:val="18"/>
                <w:szCs w:val="18"/>
                <w:color w:val="0000FF"/>
              </w:rPr>
            </w:pPr>
            <w:hyperlink r:id="rId84">
              <w:r>
                <w:rPr>
                  <w:rFonts w:ascii="Arial" w:cs="Arial" w:eastAsia="Arial" w:hAnsi="Arial"/>
                  <w:sz w:val="18"/>
                  <w:szCs w:val="18"/>
                  <w:color w:val="0000FF"/>
                </w:rPr>
                <w:t>Jr.</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line="230" w:lineRule="exact"/>
              <w:rPr>
                <w:sz w:val="20"/>
                <w:szCs w:val="20"/>
                <w:color w:val="auto"/>
              </w:rPr>
            </w:pPr>
            <w:r>
              <w:rPr>
                <w:rFonts w:ascii="Arial" w:cs="Arial" w:eastAsia="Arial" w:hAnsi="Arial"/>
                <w:sz w:val="18"/>
                <w:szCs w:val="18"/>
                <w:color w:val="auto"/>
              </w:rPr>
              <w:t>10.21</w:t>
            </w:r>
            <w:r>
              <w:rPr>
                <w:rFonts w:ascii="Arial" w:cs="Arial" w:eastAsia="Arial" w:hAnsi="Arial"/>
                <w:sz w:val="23"/>
                <w:szCs w:val="23"/>
                <w:color w:val="auto"/>
                <w:vertAlign w:val="superscript"/>
              </w:rPr>
              <w:t>†</w:t>
            </w:r>
          </w:p>
        </w:tc>
        <w:tc>
          <w:tcPr>
            <w:tcW w:w="1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vMerge w:val="continue"/>
          </w:tcPr>
          <w:p>
            <w:pPr>
              <w:spacing w:after="0"/>
              <w:rPr>
                <w:sz w:val="18"/>
                <w:szCs w:val="18"/>
                <w:color w:val="auto"/>
              </w:rPr>
            </w:pPr>
          </w:p>
        </w:tc>
        <w:tc>
          <w:tcPr>
            <w:tcW w:w="3880" w:type="dxa"/>
            <w:vAlign w:val="bottom"/>
            <w:gridSpan w:val="41"/>
          </w:tcPr>
          <w:p>
            <w:pPr>
              <w:spacing w:after="0"/>
              <w:rPr>
                <w:rFonts w:ascii="Arial" w:cs="Arial" w:eastAsia="Arial" w:hAnsi="Arial"/>
                <w:sz w:val="18"/>
                <w:szCs w:val="18"/>
                <w:color w:val="0000FF"/>
                <w:w w:val="99"/>
              </w:rPr>
            </w:pPr>
            <w:hyperlink r:id="rId85">
              <w:r>
                <w:rPr>
                  <w:rFonts w:ascii="Arial" w:cs="Arial" w:eastAsia="Arial" w:hAnsi="Arial"/>
                  <w:sz w:val="18"/>
                  <w:szCs w:val="18"/>
                  <w:color w:val="0000FF"/>
                  <w:w w:val="99"/>
                </w:rPr>
                <w:t>Third Amended and Restated Credit Agreement,</w:t>
              </w:r>
            </w:hyperlink>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10.1</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11/16/2022</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860" w:type="dxa"/>
            <w:vAlign w:val="bottom"/>
            <w:tcBorders>
              <w:top w:val="single" w:sz="8" w:color="0000FF"/>
            </w:tcBorders>
            <w:gridSpan w:val="40"/>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dated as of November 15, 2022, among Huron</w:t>
              </w:r>
            </w:hyperlink>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440" w:type="dxa"/>
            <w:vAlign w:val="bottom"/>
            <w:tcBorders>
              <w:top w:val="single" w:sz="8" w:color="0000FF"/>
              <w:bottom w:val="single" w:sz="8" w:color="0000FF"/>
            </w:tcBorders>
            <w:gridSpan w:val="21"/>
          </w:tcPr>
          <w:p>
            <w:pPr>
              <w:spacing w:after="0" w:line="169" w:lineRule="exact"/>
              <w:rPr>
                <w:rFonts w:ascii="Arial" w:cs="Arial" w:eastAsia="Arial" w:hAnsi="Arial"/>
                <w:sz w:val="18"/>
                <w:szCs w:val="18"/>
                <w:color w:val="0000FF"/>
                <w:w w:val="99"/>
              </w:rPr>
            </w:pPr>
            <w:hyperlink r:id="rId85">
              <w:r>
                <w:rPr>
                  <w:rFonts w:ascii="Arial" w:cs="Arial" w:eastAsia="Arial" w:hAnsi="Arial"/>
                  <w:sz w:val="18"/>
                  <w:szCs w:val="18"/>
                  <w:color w:val="0000FF"/>
                  <w:w w:val="99"/>
                </w:rPr>
                <w:t>Consulting Group Inc., as Borrower, certain</w:t>
              </w:r>
            </w:hyperlink>
          </w:p>
        </w:tc>
        <w:tc>
          <w:tcPr>
            <w:tcW w:w="28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880" w:type="dxa"/>
            <w:vAlign w:val="bottom"/>
            <w:gridSpan w:val="41"/>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subsidiaries as Guarantors, the Lenders Party,</w:t>
              </w:r>
            </w:hyperlink>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9"/>
              </w:rPr>
            </w:pPr>
            <w:hyperlink r:id="rId85">
              <w:r>
                <w:rPr>
                  <w:rFonts w:ascii="Arial" w:cs="Arial" w:eastAsia="Arial" w:hAnsi="Arial"/>
                  <w:sz w:val="18"/>
                  <w:szCs w:val="18"/>
                  <w:color w:val="0000FF"/>
                  <w:w w:val="99"/>
                </w:rPr>
                <w:t>Hereto and Bank of America, N.A., as</w:t>
              </w:r>
            </w:hyperlink>
          </w:p>
        </w:tc>
        <w:tc>
          <w:tcPr>
            <w:tcW w:w="680" w:type="dxa"/>
            <w:vAlign w:val="bottom"/>
            <w:tcBorders>
              <w:top w:val="single" w:sz="8" w:color="0000FF"/>
            </w:tcBorders>
            <w:gridSpan w:val="19"/>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380" w:type="dxa"/>
            <w:vAlign w:val="bottom"/>
            <w:tcBorders>
              <w:bottom w:val="single" w:sz="8" w:color="0000FF"/>
            </w:tcBorders>
            <w:gridSpan w:val="19"/>
          </w:tcPr>
          <w:p>
            <w:pPr>
              <w:spacing w:after="0" w:line="169" w:lineRule="exact"/>
              <w:rPr>
                <w:rFonts w:ascii="Arial" w:cs="Arial" w:eastAsia="Arial" w:hAnsi="Arial"/>
                <w:sz w:val="18"/>
                <w:szCs w:val="18"/>
                <w:color w:val="0000FF"/>
                <w:w w:val="99"/>
              </w:rPr>
            </w:pPr>
            <w:hyperlink r:id="rId85">
              <w:r>
                <w:rPr>
                  <w:rFonts w:ascii="Arial" w:cs="Arial" w:eastAsia="Arial" w:hAnsi="Arial"/>
                  <w:sz w:val="18"/>
                  <w:szCs w:val="18"/>
                  <w:color w:val="0000FF"/>
                  <w:w w:val="99"/>
                </w:rPr>
                <w:t>Administrative Agent and Collateral Agent,</w:t>
              </w:r>
            </w:hyperlink>
          </w:p>
        </w:tc>
        <w:tc>
          <w:tcPr>
            <w:tcW w:w="500" w:type="dxa"/>
            <w:vAlign w:val="bottom"/>
            <w:gridSpan w:val="22"/>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620" w:type="dxa"/>
            <w:vAlign w:val="bottom"/>
            <w:tcBorders>
              <w:bottom w:val="single" w:sz="8" w:color="0000FF"/>
            </w:tcBorders>
            <w:gridSpan w:val="29"/>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JPMorgan Chase Bank, N.A. and PNC Bank,</w:t>
              </w:r>
            </w:hyperlink>
          </w:p>
        </w:tc>
        <w:tc>
          <w:tcPr>
            <w:tcW w:w="260" w:type="dxa"/>
            <w:vAlign w:val="bottom"/>
            <w:gridSpan w:val="12"/>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880" w:type="dxa"/>
            <w:vAlign w:val="bottom"/>
            <w:gridSpan w:val="41"/>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National Association as Co-Syndication Agents,</w:t>
              </w:r>
            </w:hyperlink>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460" w:type="dxa"/>
            <w:vAlign w:val="bottom"/>
            <w:tcBorders>
              <w:top w:val="single" w:sz="8" w:color="0000FF"/>
              <w:bottom w:val="single" w:sz="8" w:color="0000FF"/>
            </w:tcBorders>
            <w:gridSpan w:val="22"/>
          </w:tcPr>
          <w:p>
            <w:pPr>
              <w:spacing w:after="0" w:line="169" w:lineRule="exact"/>
              <w:rPr>
                <w:rFonts w:ascii="Arial" w:cs="Arial" w:eastAsia="Arial" w:hAnsi="Arial"/>
                <w:sz w:val="18"/>
                <w:szCs w:val="18"/>
                <w:color w:val="0000FF"/>
                <w:w w:val="99"/>
              </w:rPr>
            </w:pPr>
            <w:hyperlink r:id="rId85">
              <w:r>
                <w:rPr>
                  <w:rFonts w:ascii="Arial" w:cs="Arial" w:eastAsia="Arial" w:hAnsi="Arial"/>
                  <w:sz w:val="18"/>
                  <w:szCs w:val="18"/>
                  <w:color w:val="0000FF"/>
                  <w:w w:val="99"/>
                </w:rPr>
                <w:t>PNC Capital Markets LLC, as Sustainability</w:t>
              </w:r>
            </w:hyperlink>
          </w:p>
        </w:tc>
        <w:tc>
          <w:tcPr>
            <w:tcW w:w="360" w:type="dxa"/>
            <w:vAlign w:val="bottom"/>
            <w:tcBorders>
              <w:top w:val="single" w:sz="8" w:color="0000FF"/>
            </w:tcBorders>
            <w:gridSpan w:val="16"/>
          </w:tcPr>
          <w:p>
            <w:pPr>
              <w:spacing w:after="0"/>
              <w:rPr>
                <w:sz w:val="14"/>
                <w:szCs w:val="14"/>
                <w:color w:val="auto"/>
              </w:rPr>
            </w:pPr>
          </w:p>
        </w:tc>
        <w:tc>
          <w:tcPr>
            <w:tcW w:w="60" w:type="dxa"/>
            <w:vAlign w:val="bottom"/>
            <w:gridSpan w:val="3"/>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880" w:type="dxa"/>
            <w:vAlign w:val="bottom"/>
            <w:gridSpan w:val="41"/>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Structuring Agent, Bank of Montreal, Fifth Third</w:t>
              </w:r>
            </w:hyperlink>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760" w:type="dxa"/>
            <w:vAlign w:val="bottom"/>
            <w:tcBorders>
              <w:top w:val="single" w:sz="8" w:color="0000FF"/>
            </w:tcBorders>
            <w:gridSpan w:val="36"/>
          </w:tcPr>
          <w:p>
            <w:pPr>
              <w:spacing w:after="0" w:line="156" w:lineRule="exact"/>
              <w:rPr>
                <w:rFonts w:ascii="Arial" w:cs="Arial" w:eastAsia="Arial" w:hAnsi="Arial"/>
                <w:sz w:val="18"/>
                <w:szCs w:val="18"/>
                <w:color w:val="0000FF"/>
                <w:w w:val="99"/>
              </w:rPr>
            </w:pPr>
            <w:hyperlink r:id="rId85">
              <w:r>
                <w:rPr>
                  <w:rFonts w:ascii="Arial" w:cs="Arial" w:eastAsia="Arial" w:hAnsi="Arial"/>
                  <w:sz w:val="18"/>
                  <w:szCs w:val="18"/>
                  <w:color w:val="0000FF"/>
                  <w:w w:val="99"/>
                </w:rPr>
                <w:t>Bank, National Association and TD Bank, N.A.,</w:t>
              </w:r>
            </w:hyperlink>
          </w:p>
        </w:tc>
        <w:tc>
          <w:tcPr>
            <w:tcW w:w="120" w:type="dxa"/>
            <w:vAlign w:val="bottom"/>
            <w:gridSpan w:val="5"/>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60" w:type="dxa"/>
            <w:vAlign w:val="bottom"/>
          </w:tcPr>
          <w:p>
            <w:pPr>
              <w:spacing w:after="0"/>
              <w:rPr>
                <w:sz w:val="14"/>
                <w:szCs w:val="14"/>
                <w:color w:val="auto"/>
              </w:rPr>
            </w:pPr>
          </w:p>
        </w:tc>
        <w:tc>
          <w:tcPr>
            <w:tcW w:w="3740" w:type="dxa"/>
            <w:vAlign w:val="bottom"/>
            <w:tcBorders>
              <w:top w:val="single" w:sz="8" w:color="0000FF"/>
            </w:tcBorders>
            <w:gridSpan w:val="35"/>
          </w:tcPr>
          <w:p>
            <w:pPr>
              <w:spacing w:after="0" w:line="168" w:lineRule="exact"/>
              <w:rPr>
                <w:rFonts w:ascii="Arial" w:cs="Arial" w:eastAsia="Arial" w:hAnsi="Arial"/>
                <w:sz w:val="18"/>
                <w:szCs w:val="18"/>
                <w:color w:val="0000FF"/>
              </w:rPr>
            </w:pPr>
            <w:hyperlink r:id="rId85">
              <w:r>
                <w:rPr>
                  <w:rFonts w:ascii="Arial" w:cs="Arial" w:eastAsia="Arial" w:hAnsi="Arial"/>
                  <w:sz w:val="18"/>
                  <w:szCs w:val="18"/>
                  <w:color w:val="0000FF"/>
                </w:rPr>
                <w:t>as Co-Documentation Agents, and BofA</w:t>
              </w:r>
            </w:hyperlink>
          </w:p>
        </w:tc>
        <w:tc>
          <w:tcPr>
            <w:tcW w:w="140" w:type="dxa"/>
            <w:vAlign w:val="bottom"/>
            <w:gridSpan w:val="6"/>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180" w:type="dxa"/>
            <w:vAlign w:val="bottom"/>
            <w:tcBorders>
              <w:top w:val="single" w:sz="8" w:color="0000FF"/>
            </w:tcBorders>
            <w:gridSpan w:val="15"/>
          </w:tcPr>
          <w:p>
            <w:pPr>
              <w:spacing w:after="0" w:line="157" w:lineRule="exact"/>
              <w:rPr>
                <w:rFonts w:ascii="Arial" w:cs="Arial" w:eastAsia="Arial" w:hAnsi="Arial"/>
                <w:sz w:val="18"/>
                <w:szCs w:val="18"/>
                <w:color w:val="0000FF"/>
                <w:w w:val="99"/>
              </w:rPr>
            </w:pPr>
            <w:hyperlink r:id="rId85">
              <w:r>
                <w:rPr>
                  <w:rFonts w:ascii="Arial" w:cs="Arial" w:eastAsia="Arial" w:hAnsi="Arial"/>
                  <w:sz w:val="18"/>
                  <w:szCs w:val="18"/>
                  <w:color w:val="0000FF"/>
                  <w:w w:val="99"/>
                </w:rPr>
                <w:t>Securities, Inc., JPMorgan Chase Bank,</w:t>
              </w:r>
            </w:hyperlink>
          </w:p>
        </w:tc>
        <w:tc>
          <w:tcPr>
            <w:tcW w:w="700" w:type="dxa"/>
            <w:vAlign w:val="bottom"/>
            <w:gridSpan w:val="26"/>
          </w:tcPr>
          <w:p>
            <w:pPr>
              <w:ind w:left="40"/>
              <w:spacing w:after="0" w:line="157" w:lineRule="exact"/>
              <w:rPr>
                <w:rFonts w:ascii="Arial" w:cs="Arial" w:eastAsia="Arial" w:hAnsi="Arial"/>
                <w:sz w:val="18"/>
                <w:szCs w:val="18"/>
                <w:color w:val="0000FF"/>
              </w:rPr>
            </w:pPr>
            <w:hyperlink r:id="rId85">
              <w:r>
                <w:rPr>
                  <w:rFonts w:ascii="Arial" w:cs="Arial" w:eastAsia="Arial" w:hAnsi="Arial"/>
                  <w:sz w:val="18"/>
                  <w:szCs w:val="18"/>
                  <w:color w:val="0000FF"/>
                </w:rPr>
                <w:t>N.A.</w:t>
              </w:r>
            </w:hyperlink>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w w:val="99"/>
              </w:rPr>
            </w:pPr>
            <w:hyperlink r:id="rId85">
              <w:r>
                <w:rPr>
                  <w:rFonts w:ascii="Arial" w:cs="Arial" w:eastAsia="Arial" w:hAnsi="Arial"/>
                  <w:sz w:val="18"/>
                  <w:szCs w:val="18"/>
                  <w:color w:val="0000FF"/>
                  <w:w w:val="99"/>
                </w:rPr>
                <w:t>and PNC Capital Markets LLC, as Joint Lead</w:t>
              </w:r>
            </w:hyperlink>
          </w:p>
        </w:tc>
        <w:tc>
          <w:tcPr>
            <w:tcW w:w="20" w:type="dxa"/>
            <w:vAlign w:val="bottom"/>
            <w:tcBorders>
              <w:bottom w:val="single" w:sz="8" w:color="0000FF"/>
            </w:tcBorders>
          </w:tcPr>
          <w:p>
            <w:pPr>
              <w:spacing w:after="0"/>
              <w:rPr>
                <w:sz w:val="13"/>
                <w:szCs w:val="13"/>
                <w:color w:val="auto"/>
              </w:rPr>
            </w:pPr>
          </w:p>
        </w:tc>
        <w:tc>
          <w:tcPr>
            <w:tcW w:w="280" w:type="dxa"/>
            <w:vAlign w:val="bottom"/>
            <w:gridSpan w:val="13"/>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600" w:type="dxa"/>
            <w:vAlign w:val="bottom"/>
            <w:gridSpan w:val="28"/>
          </w:tcPr>
          <w:p>
            <w:pPr>
              <w:spacing w:after="0" w:line="169" w:lineRule="exact"/>
              <w:rPr>
                <w:rFonts w:ascii="Arial" w:cs="Arial" w:eastAsia="Arial" w:hAnsi="Arial"/>
                <w:sz w:val="18"/>
                <w:szCs w:val="18"/>
                <w:color w:val="0000FF"/>
              </w:rPr>
            </w:pPr>
            <w:hyperlink r:id="rId85">
              <w:r>
                <w:rPr>
                  <w:rFonts w:ascii="Arial" w:cs="Arial" w:eastAsia="Arial" w:hAnsi="Arial"/>
                  <w:sz w:val="18"/>
                  <w:szCs w:val="18"/>
                  <w:color w:val="0000FF"/>
                </w:rPr>
                <w:t>Arrangers and Joint Bookrunners.</w:t>
              </w:r>
            </w:hyperlink>
          </w:p>
        </w:tc>
        <w:tc>
          <w:tcPr>
            <w:tcW w:w="280" w:type="dxa"/>
            <w:vAlign w:val="bottom"/>
            <w:gridSpan w:val="13"/>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060" w:type="dxa"/>
            <w:vAlign w:val="bottom"/>
            <w:gridSpan w:val="7"/>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340" w:type="dxa"/>
            <w:vAlign w:val="bottom"/>
            <w:gridSpan w:val="1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10.22</w:t>
            </w:r>
          </w:p>
        </w:tc>
        <w:tc>
          <w:tcPr>
            <w:tcW w:w="3880" w:type="dxa"/>
            <w:vAlign w:val="bottom"/>
            <w:gridSpan w:val="41"/>
          </w:tcPr>
          <w:p>
            <w:pPr>
              <w:spacing w:after="0"/>
              <w:rPr>
                <w:rFonts w:ascii="Arial" w:cs="Arial" w:eastAsia="Arial" w:hAnsi="Arial"/>
                <w:sz w:val="18"/>
                <w:szCs w:val="18"/>
                <w:color w:val="0000FF"/>
              </w:rPr>
            </w:pPr>
            <w:hyperlink r:id="rId86">
              <w:r>
                <w:rPr>
                  <w:rFonts w:ascii="Arial" w:cs="Arial" w:eastAsia="Arial" w:hAnsi="Arial"/>
                  <w:sz w:val="18"/>
                  <w:szCs w:val="18"/>
                  <w:color w:val="0000FF"/>
                </w:rPr>
                <w:t>Third Amended and Restated Security</w:t>
              </w:r>
            </w:hyperlink>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10.2</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11/16/2022</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14"/>
          </w:tcPr>
          <w:p>
            <w:pPr>
              <w:spacing w:after="0" w:line="157" w:lineRule="exact"/>
              <w:rPr>
                <w:rFonts w:ascii="Arial" w:cs="Arial" w:eastAsia="Arial" w:hAnsi="Arial"/>
                <w:sz w:val="18"/>
                <w:szCs w:val="18"/>
                <w:color w:val="0000FF"/>
                <w:w w:val="98"/>
              </w:rPr>
            </w:pPr>
            <w:hyperlink r:id="rId86">
              <w:r>
                <w:rPr>
                  <w:rFonts w:ascii="Arial" w:cs="Arial" w:eastAsia="Arial" w:hAnsi="Arial"/>
                  <w:sz w:val="18"/>
                  <w:szCs w:val="18"/>
                  <w:color w:val="0000FF"/>
                  <w:w w:val="98"/>
                </w:rPr>
                <w:t>Agreement, dated as of November 15,</w:t>
              </w:r>
            </w:hyperlink>
          </w:p>
        </w:tc>
        <w:tc>
          <w:tcPr>
            <w:tcW w:w="500" w:type="dxa"/>
            <w:vAlign w:val="bottom"/>
            <w:tcBorders>
              <w:bottom w:val="single" w:sz="8" w:color="0000FF"/>
            </w:tcBorders>
            <w:gridSpan w:val="12"/>
          </w:tcPr>
          <w:p>
            <w:pPr>
              <w:jc w:val="right"/>
              <w:spacing w:after="0" w:line="157" w:lineRule="exact"/>
              <w:rPr>
                <w:rFonts w:ascii="Arial" w:cs="Arial" w:eastAsia="Arial" w:hAnsi="Arial"/>
                <w:sz w:val="18"/>
                <w:szCs w:val="18"/>
                <w:color w:val="0000FF"/>
              </w:rPr>
            </w:pPr>
            <w:hyperlink r:id="rId86">
              <w:r>
                <w:rPr>
                  <w:rFonts w:ascii="Arial" w:cs="Arial" w:eastAsia="Arial" w:hAnsi="Arial"/>
                  <w:sz w:val="18"/>
                  <w:szCs w:val="18"/>
                  <w:color w:val="0000FF"/>
                </w:rPr>
                <w:t>2022.</w:t>
              </w:r>
            </w:hyperlink>
          </w:p>
        </w:tc>
        <w:tc>
          <w:tcPr>
            <w:tcW w:w="340" w:type="dxa"/>
            <w:vAlign w:val="bottom"/>
            <w:gridSpan w:val="15"/>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60" w:type="dxa"/>
            <w:vAlign w:val="bottom"/>
          </w:tcPr>
          <w:p>
            <w:pPr>
              <w:ind w:left="20"/>
              <w:spacing w:after="0"/>
              <w:rPr>
                <w:sz w:val="20"/>
                <w:szCs w:val="20"/>
                <w:color w:val="auto"/>
              </w:rPr>
            </w:pPr>
            <w:r>
              <w:rPr>
                <w:rFonts w:ascii="Arial" w:cs="Arial" w:eastAsia="Arial" w:hAnsi="Arial"/>
                <w:sz w:val="18"/>
                <w:szCs w:val="18"/>
                <w:color w:val="auto"/>
              </w:rPr>
              <w:t>10.23</w:t>
            </w:r>
          </w:p>
        </w:tc>
        <w:tc>
          <w:tcPr>
            <w:tcW w:w="2960" w:type="dxa"/>
            <w:vAlign w:val="bottom"/>
            <w:tcBorders>
              <w:bottom w:val="single" w:sz="8" w:color="0000FF"/>
            </w:tcBorders>
            <w:gridSpan w:val="11"/>
          </w:tcPr>
          <w:p>
            <w:pPr>
              <w:spacing w:after="0"/>
              <w:rPr>
                <w:rFonts w:ascii="Arial" w:cs="Arial" w:eastAsia="Arial" w:hAnsi="Arial"/>
                <w:sz w:val="18"/>
                <w:szCs w:val="18"/>
                <w:color w:val="0000FF"/>
                <w:w w:val="99"/>
              </w:rPr>
            </w:pPr>
            <w:hyperlink r:id="rId87">
              <w:r>
                <w:rPr>
                  <w:rFonts w:ascii="Arial" w:cs="Arial" w:eastAsia="Arial" w:hAnsi="Arial"/>
                  <w:sz w:val="18"/>
                  <w:szCs w:val="18"/>
                  <w:color w:val="0000FF"/>
                  <w:w w:val="99"/>
                </w:rPr>
                <w:t>Third Amended and Restated Pledge</w:t>
              </w:r>
            </w:hyperlink>
          </w:p>
        </w:tc>
        <w:tc>
          <w:tcPr>
            <w:tcW w:w="920" w:type="dxa"/>
            <w:vAlign w:val="bottom"/>
            <w:gridSpan w:val="30"/>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10.3</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11/16/2022</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880" w:type="dxa"/>
            <w:vAlign w:val="bottom"/>
            <w:gridSpan w:val="41"/>
          </w:tcPr>
          <w:p>
            <w:pPr>
              <w:spacing w:after="0" w:line="156" w:lineRule="exact"/>
              <w:rPr>
                <w:rFonts w:ascii="Arial" w:cs="Arial" w:eastAsia="Arial" w:hAnsi="Arial"/>
                <w:sz w:val="18"/>
                <w:szCs w:val="18"/>
                <w:color w:val="0000FF"/>
              </w:rPr>
            </w:pPr>
            <w:hyperlink r:id="rId87">
              <w:r>
                <w:rPr>
                  <w:rFonts w:ascii="Arial" w:cs="Arial" w:eastAsia="Arial" w:hAnsi="Arial"/>
                  <w:sz w:val="18"/>
                  <w:szCs w:val="18"/>
                  <w:color w:val="0000FF"/>
                </w:rPr>
                <w:t>Agreement, dated as of November 15, 2022.</w:t>
              </w:r>
            </w:hyperlink>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680" w:type="dxa"/>
            <w:vAlign w:val="bottom"/>
            <w:gridSpan w:val="15"/>
            <w:shd w:val="clear" w:color="auto" w:fill="0000FF"/>
          </w:tcPr>
          <w:p>
            <w:pPr>
              <w:spacing w:after="0" w:line="20" w:lineRule="exact"/>
              <w:rPr>
                <w:sz w:val="1"/>
                <w:szCs w:val="1"/>
                <w:color w:val="auto"/>
              </w:rPr>
            </w:pPr>
          </w:p>
        </w:tc>
        <w:tc>
          <w:tcPr>
            <w:tcW w:w="240" w:type="dxa"/>
            <w:vAlign w:val="bottom"/>
            <w:gridSpan w:val="8"/>
            <w:shd w:val="clear" w:color="auto" w:fill="0000FF"/>
          </w:tcPr>
          <w:p>
            <w:pPr>
              <w:spacing w:after="0" w:line="20" w:lineRule="exact"/>
              <w:rPr>
                <w:sz w:val="1"/>
                <w:szCs w:val="1"/>
                <w:color w:val="auto"/>
              </w:rPr>
            </w:pPr>
          </w:p>
        </w:tc>
        <w:tc>
          <w:tcPr>
            <w:tcW w:w="340" w:type="dxa"/>
            <w:vAlign w:val="bottom"/>
            <w:gridSpan w:val="1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Pr>
          <w:p>
            <w:pPr>
              <w:ind w:left="20"/>
              <w:spacing w:after="0"/>
              <w:rPr>
                <w:sz w:val="20"/>
                <w:szCs w:val="20"/>
                <w:color w:val="auto"/>
              </w:rPr>
            </w:pPr>
            <w:r>
              <w:rPr>
                <w:rFonts w:ascii="Arial" w:cs="Arial" w:eastAsia="Arial" w:hAnsi="Arial"/>
                <w:sz w:val="18"/>
                <w:szCs w:val="18"/>
                <w:color w:val="auto"/>
              </w:rPr>
              <w:t>10.24*</w:t>
            </w:r>
          </w:p>
        </w:tc>
        <w:tc>
          <w:tcPr>
            <w:tcW w:w="3880" w:type="dxa"/>
            <w:vAlign w:val="bottom"/>
            <w:tcBorders>
              <w:bottom w:val="single" w:sz="8" w:color="0000FF"/>
            </w:tcBorders>
            <w:gridSpan w:val="41"/>
          </w:tcPr>
          <w:p>
            <w:pPr>
              <w:spacing w:after="0"/>
              <w:rPr>
                <w:rFonts w:ascii="Arial" w:cs="Arial" w:eastAsia="Arial" w:hAnsi="Arial"/>
                <w:sz w:val="18"/>
                <w:szCs w:val="18"/>
                <w:color w:val="0000FF"/>
                <w:w w:val="99"/>
              </w:rPr>
            </w:pPr>
            <w:hyperlink r:id="rId88">
              <w:r>
                <w:rPr>
                  <w:rFonts w:ascii="Arial" w:cs="Arial" w:eastAsia="Arial" w:hAnsi="Arial"/>
                  <w:sz w:val="18"/>
                  <w:szCs w:val="18"/>
                  <w:color w:val="0000FF"/>
                  <w:w w:val="99"/>
                </w:rPr>
                <w:t>Senior Management Agreement by and between</w:t>
              </w:r>
            </w:hyperlink>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jc w:val="center"/>
              <w:ind w:left="130"/>
              <w:spacing w:after="0"/>
              <w:rPr>
                <w:sz w:val="20"/>
                <w:szCs w:val="20"/>
                <w:color w:val="auto"/>
              </w:rPr>
            </w:pPr>
            <w:r>
              <w:rPr>
                <w:rFonts w:ascii="Arial" w:cs="Arial" w:eastAsia="Arial" w:hAnsi="Arial"/>
                <w:sz w:val="18"/>
                <w:szCs w:val="18"/>
                <w:color w:val="auto"/>
                <w:w w:val="97"/>
              </w:rPr>
              <w:t>8-K/A</w:t>
            </w:r>
          </w:p>
        </w:tc>
        <w:tc>
          <w:tcPr>
            <w:tcW w:w="13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10.1</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12/29/2022</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880" w:type="dxa"/>
            <w:vAlign w:val="bottom"/>
            <w:gridSpan w:val="41"/>
          </w:tcPr>
          <w:p>
            <w:pPr>
              <w:spacing w:after="0" w:line="156" w:lineRule="exact"/>
              <w:rPr>
                <w:rFonts w:ascii="Arial" w:cs="Arial" w:eastAsia="Arial" w:hAnsi="Arial"/>
                <w:sz w:val="18"/>
                <w:szCs w:val="18"/>
                <w:color w:val="0000FF"/>
              </w:rPr>
            </w:pPr>
            <w:hyperlink r:id="rId88">
              <w:r>
                <w:rPr>
                  <w:rFonts w:ascii="Arial" w:cs="Arial" w:eastAsia="Arial" w:hAnsi="Arial"/>
                  <w:sz w:val="18"/>
                  <w:szCs w:val="18"/>
                  <w:color w:val="0000FF"/>
                </w:rPr>
                <w:t>Huron Consulting Group Inc. and C. Mark</w:t>
              </w:r>
            </w:hyperlink>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30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88">
              <w:r>
                <w:rPr>
                  <w:rFonts w:ascii="Arial" w:cs="Arial" w:eastAsia="Arial" w:hAnsi="Arial"/>
                  <w:sz w:val="18"/>
                  <w:szCs w:val="18"/>
                  <w:color w:val="0000FF"/>
                </w:rPr>
                <w:t>Hussey.</w:t>
              </w:r>
            </w:hyperlink>
          </w:p>
        </w:tc>
        <w:tc>
          <w:tcPr>
            <w:tcW w:w="580" w:type="dxa"/>
            <w:vAlign w:val="bottom"/>
            <w:gridSpan w:val="23"/>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260" w:type="dxa"/>
            <w:vAlign w:val="bottom"/>
            <w:gridSpan w:val="3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10.25*</w:t>
            </w:r>
          </w:p>
        </w:tc>
        <w:tc>
          <w:tcPr>
            <w:tcW w:w="3880" w:type="dxa"/>
            <w:vAlign w:val="bottom"/>
            <w:tcBorders>
              <w:bottom w:val="single" w:sz="8" w:color="0000FF"/>
            </w:tcBorders>
            <w:gridSpan w:val="41"/>
          </w:tcPr>
          <w:p>
            <w:pPr>
              <w:spacing w:after="0"/>
              <w:rPr>
                <w:rFonts w:ascii="Arial" w:cs="Arial" w:eastAsia="Arial" w:hAnsi="Arial"/>
                <w:sz w:val="18"/>
                <w:szCs w:val="18"/>
                <w:color w:val="0000FF"/>
                <w:w w:val="99"/>
              </w:rPr>
            </w:pPr>
            <w:hyperlink r:id="rId89">
              <w:r>
                <w:rPr>
                  <w:rFonts w:ascii="Arial" w:cs="Arial" w:eastAsia="Arial" w:hAnsi="Arial"/>
                  <w:sz w:val="18"/>
                  <w:szCs w:val="18"/>
                  <w:color w:val="0000FF"/>
                  <w:w w:val="99"/>
                </w:rPr>
                <w:t>Senior Management Agreement by and between</w:t>
              </w:r>
            </w:hyperlink>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jc w:val="center"/>
              <w:ind w:left="130"/>
              <w:spacing w:after="0"/>
              <w:rPr>
                <w:sz w:val="20"/>
                <w:szCs w:val="20"/>
                <w:color w:val="auto"/>
              </w:rPr>
            </w:pPr>
            <w:r>
              <w:rPr>
                <w:rFonts w:ascii="Arial" w:cs="Arial" w:eastAsia="Arial" w:hAnsi="Arial"/>
                <w:sz w:val="18"/>
                <w:szCs w:val="18"/>
                <w:color w:val="auto"/>
                <w:w w:val="97"/>
              </w:rPr>
              <w:t>8-K/A</w:t>
            </w:r>
          </w:p>
        </w:tc>
        <w:tc>
          <w:tcPr>
            <w:tcW w:w="13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10.2</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12/29/2022</w:t>
            </w:r>
          </w:p>
        </w:tc>
        <w:tc>
          <w:tcPr>
            <w:tcW w:w="0" w:type="dxa"/>
            <w:vAlign w:val="bottom"/>
          </w:tcPr>
          <w:p>
            <w:pPr>
              <w:spacing w:after="0"/>
              <w:rPr>
                <w:sz w:val="1"/>
                <w:szCs w:val="1"/>
                <w:color w:val="auto"/>
              </w:rPr>
            </w:pPr>
          </w:p>
        </w:tc>
      </w:tr>
      <w:tr>
        <w:trPr>
          <w:trHeight w:val="168"/>
        </w:trPr>
        <w:tc>
          <w:tcPr>
            <w:tcW w:w="1060" w:type="dxa"/>
            <w:vAlign w:val="bottom"/>
          </w:tcPr>
          <w:p>
            <w:pPr>
              <w:spacing w:after="0"/>
              <w:rPr>
                <w:sz w:val="14"/>
                <w:szCs w:val="14"/>
                <w:color w:val="auto"/>
              </w:rPr>
            </w:pPr>
          </w:p>
        </w:tc>
        <w:tc>
          <w:tcPr>
            <w:tcW w:w="3880" w:type="dxa"/>
            <w:vAlign w:val="bottom"/>
            <w:gridSpan w:val="41"/>
          </w:tcPr>
          <w:p>
            <w:pPr>
              <w:spacing w:after="0" w:line="168" w:lineRule="exact"/>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Huron Consulting Group Inc. and James H.</w:t>
              </w:r>
            </w:hyperlink>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060"/>
        <w:spacing w:after="0"/>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Roth.</w:t>
        </w:r>
      </w:hyperlink>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4940" w:type="dxa"/>
            <w:vAlign w:val="bottom"/>
            <w:gridSpan w:val="19"/>
          </w:tcPr>
          <w:p>
            <w:pPr>
              <w:spacing w:after="0"/>
              <w:rPr>
                <w:sz w:val="20"/>
                <w:szCs w:val="20"/>
                <w:color w:val="auto"/>
              </w:rPr>
            </w:pPr>
            <w:r>
              <w:rPr>
                <w:rFonts w:ascii="Arial" w:cs="Arial" w:eastAsia="Arial" w:hAnsi="Arial"/>
                <w:sz w:val="18"/>
                <w:szCs w:val="18"/>
                <w:color w:val="0000FF"/>
              </w:rPr>
              <w:t>Table of Contents</w:t>
            </w: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10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69"/>
        </w:trPr>
        <w:tc>
          <w:tcPr>
            <w:tcW w:w="106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Exhibit</w:t>
            </w:r>
          </w:p>
        </w:tc>
        <w:tc>
          <w:tcPr>
            <w:tcW w:w="3880" w:type="dxa"/>
            <w:vAlign w:val="bottom"/>
            <w:gridSpan w:val="18"/>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8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Filed</w:t>
            </w:r>
          </w:p>
        </w:tc>
        <w:tc>
          <w:tcPr>
            <w:tcW w:w="10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8"/>
              </w:rPr>
              <w:t>Furnished</w:t>
            </w:r>
          </w:p>
        </w:tc>
        <w:tc>
          <w:tcPr>
            <w:tcW w:w="96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Form</w:t>
            </w:r>
          </w:p>
        </w:tc>
        <w:tc>
          <w:tcPr>
            <w:tcW w:w="1340" w:type="dxa"/>
            <w:vAlign w:val="bottom"/>
          </w:tcPr>
          <w:p>
            <w:pPr>
              <w:ind w:left="520"/>
              <w:spacing w:after="0" w:line="169" w:lineRule="exact"/>
              <w:rPr>
                <w:sz w:val="20"/>
                <w:szCs w:val="20"/>
                <w:color w:val="auto"/>
              </w:rPr>
            </w:pPr>
            <w:r>
              <w:rPr>
                <w:rFonts w:ascii="Arial" w:cs="Arial" w:eastAsia="Arial" w:hAnsi="Arial"/>
                <w:sz w:val="18"/>
                <w:szCs w:val="18"/>
                <w:b w:val="1"/>
                <w:bCs w:val="1"/>
                <w:color w:val="auto"/>
              </w:rPr>
              <w:t>Period</w:t>
            </w:r>
          </w:p>
        </w:tc>
        <w:tc>
          <w:tcPr>
            <w:tcW w:w="21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Exhibit   Filing Date</w:t>
            </w:r>
          </w:p>
        </w:tc>
        <w:tc>
          <w:tcPr>
            <w:tcW w:w="0" w:type="dxa"/>
            <w:vAlign w:val="bottom"/>
          </w:tcPr>
          <w:p>
            <w:pPr>
              <w:spacing w:after="0"/>
              <w:rPr>
                <w:sz w:val="1"/>
                <w:szCs w:val="1"/>
                <w:color w:val="auto"/>
              </w:rPr>
            </w:pPr>
          </w:p>
        </w:tc>
      </w:tr>
      <w:tr>
        <w:trPr>
          <w:trHeight w:val="243"/>
        </w:trPr>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3880" w:type="dxa"/>
            <w:vAlign w:val="bottom"/>
            <w:tcBorders>
              <w:bottom w:val="single" w:sz="8" w:color="auto"/>
            </w:tcBorders>
            <w:gridSpan w:val="18"/>
            <w:vMerge w:val="continue"/>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960" w:type="dxa"/>
            <w:vAlign w:val="bottom"/>
            <w:tcBorders>
              <w:bottom w:val="single" w:sz="8" w:color="auto"/>
            </w:tcBorders>
            <w:vMerge w:val="continue"/>
          </w:tcPr>
          <w:p>
            <w:pPr>
              <w:spacing w:after="0"/>
              <w:rPr>
                <w:sz w:val="21"/>
                <w:szCs w:val="21"/>
                <w:color w:val="auto"/>
              </w:rPr>
            </w:pPr>
          </w:p>
        </w:tc>
        <w:tc>
          <w:tcPr>
            <w:tcW w:w="134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Ending</w:t>
            </w:r>
          </w:p>
        </w:tc>
        <w:tc>
          <w:tcPr>
            <w:tcW w:w="2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060" w:type="dxa"/>
            <w:vAlign w:val="bottom"/>
          </w:tcPr>
          <w:p>
            <w:pPr>
              <w:ind w:left="20"/>
              <w:spacing w:after="0" w:line="182" w:lineRule="exact"/>
              <w:rPr>
                <w:sz w:val="20"/>
                <w:szCs w:val="20"/>
                <w:color w:val="auto"/>
              </w:rPr>
            </w:pPr>
            <w:r>
              <w:rPr>
                <w:rFonts w:ascii="Arial" w:cs="Arial" w:eastAsia="Arial" w:hAnsi="Arial"/>
                <w:sz w:val="18"/>
                <w:szCs w:val="18"/>
                <w:color w:val="auto"/>
              </w:rPr>
              <w:t>10.26*</w:t>
            </w:r>
          </w:p>
        </w:tc>
        <w:tc>
          <w:tcPr>
            <w:tcW w:w="3880" w:type="dxa"/>
            <w:vAlign w:val="bottom"/>
            <w:gridSpan w:val="18"/>
          </w:tcPr>
          <w:p>
            <w:pPr>
              <w:spacing w:after="0" w:line="182" w:lineRule="exact"/>
              <w:rPr>
                <w:sz w:val="20"/>
                <w:szCs w:val="20"/>
                <w:color w:val="auto"/>
              </w:rPr>
            </w:pPr>
            <w:r>
              <w:rPr>
                <w:rFonts w:ascii="Arial" w:cs="Arial" w:eastAsia="Arial" w:hAnsi="Arial"/>
                <w:sz w:val="18"/>
                <w:szCs w:val="18"/>
                <w:color w:val="0000FF"/>
              </w:rPr>
              <w:t>Huron Consulting Group Inc. Stock Ownership</w:t>
            </w:r>
          </w:p>
        </w:tc>
        <w:tc>
          <w:tcPr>
            <w:tcW w:w="880" w:type="dxa"/>
            <w:vAlign w:val="bottom"/>
          </w:tcPr>
          <w:p>
            <w:pPr>
              <w:jc w:val="center"/>
              <w:spacing w:after="0" w:line="182" w:lineRule="exact"/>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680" w:type="dxa"/>
            <w:vAlign w:val="bottom"/>
            <w:tcBorders>
              <w:top w:val="single" w:sz="8" w:color="0000FF"/>
            </w:tcBorders>
            <w:gridSpan w:val="14"/>
          </w:tcPr>
          <w:p>
            <w:pPr>
              <w:spacing w:after="0" w:line="156" w:lineRule="exact"/>
              <w:rPr>
                <w:sz w:val="20"/>
                <w:szCs w:val="20"/>
                <w:color w:val="auto"/>
              </w:rPr>
            </w:pPr>
            <w:r>
              <w:rPr>
                <w:rFonts w:ascii="Arial" w:cs="Arial" w:eastAsia="Arial" w:hAnsi="Arial"/>
                <w:sz w:val="18"/>
                <w:szCs w:val="18"/>
                <w:color w:val="0000FF"/>
              </w:rPr>
              <w:t>Participation Program, as amended effective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52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8"/>
                <w:szCs w:val="18"/>
                <w:color w:val="0000FF"/>
              </w:rPr>
              <w:t>November 23, 2022.</w:t>
            </w:r>
          </w:p>
        </w:tc>
        <w:tc>
          <w:tcPr>
            <w:tcW w:w="1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21.1</w:t>
            </w:r>
          </w:p>
        </w:tc>
        <w:tc>
          <w:tcPr>
            <w:tcW w:w="3880" w:type="dxa"/>
            <w:vAlign w:val="bottom"/>
            <w:gridSpan w:val="18"/>
          </w:tcPr>
          <w:p>
            <w:pPr>
              <w:spacing w:after="0"/>
              <w:rPr>
                <w:sz w:val="20"/>
                <w:szCs w:val="20"/>
                <w:color w:val="auto"/>
              </w:rPr>
            </w:pPr>
            <w:r>
              <w:rPr>
                <w:rFonts w:ascii="Arial" w:cs="Arial" w:eastAsia="Arial" w:hAnsi="Arial"/>
                <w:sz w:val="18"/>
                <w:szCs w:val="18"/>
                <w:color w:val="0000FF"/>
              </w:rPr>
              <w:t>List of Subsidiaries of Huron Consulting Group</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700" w:type="dxa"/>
            <w:vAlign w:val="bottom"/>
            <w:tcBorders>
              <w:top w:val="single" w:sz="8" w:color="0000FF"/>
            </w:tcBorders>
            <w:gridSpan w:val="15"/>
          </w:tcPr>
          <w:p>
            <w:pPr>
              <w:spacing w:after="0" w:line="156" w:lineRule="exact"/>
              <w:rPr>
                <w:sz w:val="20"/>
                <w:szCs w:val="20"/>
                <w:color w:val="auto"/>
              </w:rPr>
            </w:pPr>
            <w:r>
              <w:rPr>
                <w:rFonts w:ascii="Arial" w:cs="Arial" w:eastAsia="Arial" w:hAnsi="Arial"/>
                <w:sz w:val="18"/>
                <w:szCs w:val="18"/>
                <w:color w:val="0000FF"/>
              </w:rPr>
              <w:t>Inc.</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Pr>
          <w:p>
            <w:pPr>
              <w:ind w:left="20"/>
              <w:spacing w:after="0"/>
              <w:rPr>
                <w:sz w:val="20"/>
                <w:szCs w:val="20"/>
                <w:color w:val="auto"/>
              </w:rPr>
            </w:pPr>
            <w:r>
              <w:rPr>
                <w:rFonts w:ascii="Arial" w:cs="Arial" w:eastAsia="Arial" w:hAnsi="Arial"/>
                <w:sz w:val="18"/>
                <w:szCs w:val="18"/>
                <w:color w:val="auto"/>
              </w:rPr>
              <w:t>23.1</w:t>
            </w:r>
          </w:p>
        </w:tc>
        <w:tc>
          <w:tcPr>
            <w:tcW w:w="33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8"/>
              </w:rPr>
              <w:t>Consent of PricewaterhouseCoopers LLP.</w:t>
            </w:r>
          </w:p>
        </w:tc>
        <w:tc>
          <w:tcPr>
            <w:tcW w:w="540" w:type="dxa"/>
            <w:vAlign w:val="bottom"/>
            <w:gridSpan w:val="8"/>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31.1</w:t>
            </w:r>
          </w:p>
        </w:tc>
        <w:tc>
          <w:tcPr>
            <w:tcW w:w="3880" w:type="dxa"/>
            <w:vAlign w:val="bottom"/>
            <w:gridSpan w:val="18"/>
          </w:tcPr>
          <w:p>
            <w:pPr>
              <w:spacing w:after="0"/>
              <w:rPr>
                <w:sz w:val="20"/>
                <w:szCs w:val="20"/>
                <w:color w:val="auto"/>
              </w:rPr>
            </w:pPr>
            <w:r>
              <w:rPr>
                <w:rFonts w:ascii="Arial" w:cs="Arial" w:eastAsia="Arial" w:hAnsi="Arial"/>
                <w:sz w:val="18"/>
                <w:szCs w:val="18"/>
                <w:color w:val="0000FF"/>
              </w:rPr>
              <w:t>Certification of the Chief Executive Officer,</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36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rPr>
              <w:t>pursuant to Rule 13a-14(a)/15d-14(a), as</w:t>
            </w:r>
          </w:p>
        </w:tc>
        <w:tc>
          <w:tcPr>
            <w:tcW w:w="20" w:type="dxa"/>
            <w:vAlign w:val="bottom"/>
          </w:tcPr>
          <w:p>
            <w:pPr>
              <w:spacing w:after="0"/>
              <w:rPr>
                <w:sz w:val="13"/>
                <w:szCs w:val="13"/>
                <w:color w:val="auto"/>
              </w:rPr>
            </w:pPr>
          </w:p>
        </w:tc>
        <w:tc>
          <w:tcPr>
            <w:tcW w:w="36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26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8"/>
                <w:szCs w:val="18"/>
                <w:color w:val="0000FF"/>
              </w:rPr>
              <w:t>adopted pursuant to Section 302 of the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360" w:type="dxa"/>
            <w:vAlign w:val="bottom"/>
            <w:gridSpan w:val="4"/>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Sarbanes-Oxley Act of 2002.</w:t>
            </w:r>
          </w:p>
        </w:tc>
        <w:tc>
          <w:tcPr>
            <w:tcW w:w="800" w:type="dxa"/>
            <w:vAlign w:val="bottom"/>
            <w:tcBorders>
              <w:top w:val="single" w:sz="8" w:color="0000FF"/>
            </w:tcBorders>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36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31.2</w:t>
            </w:r>
          </w:p>
        </w:tc>
        <w:tc>
          <w:tcPr>
            <w:tcW w:w="3880" w:type="dxa"/>
            <w:vAlign w:val="bottom"/>
            <w:gridSpan w:val="18"/>
          </w:tcPr>
          <w:p>
            <w:pPr>
              <w:spacing w:after="0"/>
              <w:rPr>
                <w:sz w:val="20"/>
                <w:szCs w:val="20"/>
                <w:color w:val="auto"/>
              </w:rPr>
            </w:pPr>
            <w:r>
              <w:rPr>
                <w:rFonts w:ascii="Arial" w:cs="Arial" w:eastAsia="Arial" w:hAnsi="Arial"/>
                <w:sz w:val="18"/>
                <w:szCs w:val="18"/>
                <w:color w:val="0000FF"/>
              </w:rPr>
              <w:t>Certification of the Chief Financial Officer,</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30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pursuant to Rule 13a-14(a)/15d-14(a), as</w:t>
            </w: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36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26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8"/>
                <w:szCs w:val="18"/>
                <w:color w:val="0000FF"/>
              </w:rPr>
              <w:t>adopted pursuant to Section 302 of the</w:t>
            </w: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360" w:type="dxa"/>
            <w:vAlign w:val="bottom"/>
            <w:gridSpan w:val="4"/>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230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Sarbanes-Oxley Act of 2002.</w:t>
            </w:r>
          </w:p>
        </w:tc>
        <w:tc>
          <w:tcPr>
            <w:tcW w:w="800" w:type="dxa"/>
            <w:vAlign w:val="bottom"/>
            <w:tcBorders>
              <w:top w:val="single" w:sz="8" w:color="0000FF"/>
            </w:tcBorders>
          </w:tcPr>
          <w:p>
            <w:pPr>
              <w:spacing w:after="0"/>
              <w:rPr>
                <w:sz w:val="13"/>
                <w:szCs w:val="13"/>
                <w:color w:val="auto"/>
              </w:rPr>
            </w:pPr>
          </w:p>
        </w:tc>
        <w:tc>
          <w:tcPr>
            <w:tcW w:w="22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36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60" w:type="dxa"/>
            <w:vAlign w:val="bottom"/>
          </w:tcPr>
          <w:p>
            <w:pPr>
              <w:ind w:left="20"/>
              <w:spacing w:after="0"/>
              <w:rPr>
                <w:sz w:val="20"/>
                <w:szCs w:val="20"/>
                <w:color w:val="auto"/>
              </w:rPr>
            </w:pPr>
            <w:r>
              <w:rPr>
                <w:rFonts w:ascii="Arial" w:cs="Arial" w:eastAsia="Arial" w:hAnsi="Arial"/>
                <w:sz w:val="18"/>
                <w:szCs w:val="18"/>
                <w:color w:val="auto"/>
              </w:rPr>
              <w:t>32.1</w:t>
            </w:r>
          </w:p>
        </w:tc>
        <w:tc>
          <w:tcPr>
            <w:tcW w:w="33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Certification of the Chief Executive Officer,</w:t>
            </w:r>
          </w:p>
        </w:tc>
        <w:tc>
          <w:tcPr>
            <w:tcW w:w="50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3880" w:type="dxa"/>
            <w:vAlign w:val="bottom"/>
            <w:gridSpan w:val="18"/>
          </w:tcPr>
          <w:p>
            <w:pPr>
              <w:spacing w:after="0" w:line="156" w:lineRule="exact"/>
              <w:rPr>
                <w:sz w:val="20"/>
                <w:szCs w:val="20"/>
                <w:color w:val="auto"/>
              </w:rPr>
            </w:pPr>
            <w:r>
              <w:rPr>
                <w:rFonts w:ascii="Arial" w:cs="Arial" w:eastAsia="Arial" w:hAnsi="Arial"/>
                <w:sz w:val="18"/>
                <w:szCs w:val="18"/>
                <w:color w:val="0000FF"/>
              </w:rPr>
              <w:t>pursuant to 18 U.S.C. Section 1350, as adopted</w:t>
            </w: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820" w:type="dxa"/>
            <w:vAlign w:val="bottom"/>
            <w:tcBorders>
              <w:top w:val="single" w:sz="8" w:color="0000FF"/>
            </w:tcBorders>
            <w:gridSpan w:val="17"/>
          </w:tcPr>
          <w:p>
            <w:pPr>
              <w:spacing w:after="0" w:line="169" w:lineRule="exact"/>
              <w:rPr>
                <w:sz w:val="20"/>
                <w:szCs w:val="20"/>
                <w:color w:val="auto"/>
              </w:rPr>
            </w:pPr>
            <w:r>
              <w:rPr>
                <w:rFonts w:ascii="Arial" w:cs="Arial" w:eastAsia="Arial" w:hAnsi="Arial"/>
                <w:sz w:val="18"/>
                <w:szCs w:val="18"/>
                <w:color w:val="0000FF"/>
              </w:rPr>
              <w:t>pursuant to Section 906 of the Sarbanes-Oxley</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6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7"/>
              </w:rPr>
              <w:t>Act of 2002.</w:t>
            </w:r>
          </w:p>
        </w:tc>
        <w:tc>
          <w:tcPr>
            <w:tcW w:w="2780" w:type="dxa"/>
            <w:vAlign w:val="bottom"/>
            <w:tcBorders>
              <w:top w:val="single" w:sz="8" w:color="0000FF"/>
            </w:tcBorders>
            <w:gridSpan w:val="13"/>
          </w:tcPr>
          <w:p>
            <w:pPr>
              <w:spacing w:after="0"/>
              <w:rPr>
                <w:sz w:val="13"/>
                <w:szCs w:val="13"/>
                <w:color w:val="auto"/>
              </w:rPr>
            </w:pPr>
          </w:p>
        </w:tc>
        <w:tc>
          <w:tcPr>
            <w:tcW w:w="1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32.2</w:t>
            </w:r>
          </w:p>
        </w:tc>
        <w:tc>
          <w:tcPr>
            <w:tcW w:w="3880" w:type="dxa"/>
            <w:vAlign w:val="bottom"/>
            <w:gridSpan w:val="18"/>
          </w:tcPr>
          <w:p>
            <w:pPr>
              <w:spacing w:after="0"/>
              <w:rPr>
                <w:sz w:val="20"/>
                <w:szCs w:val="20"/>
                <w:color w:val="auto"/>
              </w:rPr>
            </w:pPr>
            <w:r>
              <w:rPr>
                <w:rFonts w:ascii="Arial" w:cs="Arial" w:eastAsia="Arial" w:hAnsi="Arial"/>
                <w:sz w:val="18"/>
                <w:szCs w:val="18"/>
                <w:color w:val="0000FF"/>
              </w:rPr>
              <w:t>Certification of the Chief Financial Officer,</w:t>
            </w:r>
          </w:p>
        </w:tc>
        <w:tc>
          <w:tcPr>
            <w:tcW w:w="8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3320" w:type="dxa"/>
            <w:vAlign w:val="bottom"/>
            <w:tcBorders>
              <w:top w:val="single" w:sz="8" w:color="0000FF"/>
            </w:tcBorders>
            <w:gridSpan w:val="9"/>
          </w:tcPr>
          <w:p>
            <w:pPr>
              <w:spacing w:after="0" w:line="157" w:lineRule="exact"/>
              <w:rPr>
                <w:sz w:val="20"/>
                <w:szCs w:val="20"/>
                <w:color w:val="auto"/>
              </w:rPr>
            </w:pPr>
            <w:r>
              <w:rPr>
                <w:rFonts w:ascii="Arial" w:cs="Arial" w:eastAsia="Arial" w:hAnsi="Arial"/>
                <w:sz w:val="18"/>
                <w:szCs w:val="18"/>
                <w:color w:val="0000FF"/>
              </w:rPr>
              <w:t>pursuant to 18 U.S.C. Section 1350, as</w:t>
            </w:r>
          </w:p>
        </w:tc>
        <w:tc>
          <w:tcPr>
            <w:tcW w:w="560" w:type="dxa"/>
            <w:vAlign w:val="bottom"/>
            <w:gridSpan w:val="9"/>
          </w:tcPr>
          <w:p>
            <w:pPr>
              <w:spacing w:after="0" w:line="157" w:lineRule="exact"/>
              <w:rPr>
                <w:sz w:val="20"/>
                <w:szCs w:val="20"/>
                <w:color w:val="auto"/>
              </w:rPr>
            </w:pPr>
            <w:r>
              <w:rPr>
                <w:rFonts w:ascii="Arial" w:cs="Arial" w:eastAsia="Arial" w:hAnsi="Arial"/>
                <w:sz w:val="18"/>
                <w:szCs w:val="18"/>
                <w:color w:val="0000FF"/>
                <w:w w:val="82"/>
              </w:rPr>
              <w:t>adopted</w:t>
            </w: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3820" w:type="dxa"/>
            <w:vAlign w:val="bottom"/>
            <w:tcBorders>
              <w:top w:val="single" w:sz="8" w:color="0000FF"/>
            </w:tcBorders>
            <w:gridSpan w:val="17"/>
          </w:tcPr>
          <w:p>
            <w:pPr>
              <w:spacing w:after="0" w:line="169" w:lineRule="exact"/>
              <w:rPr>
                <w:sz w:val="20"/>
                <w:szCs w:val="20"/>
                <w:color w:val="auto"/>
              </w:rPr>
            </w:pPr>
            <w:r>
              <w:rPr>
                <w:rFonts w:ascii="Arial" w:cs="Arial" w:eastAsia="Arial" w:hAnsi="Arial"/>
                <w:sz w:val="18"/>
                <w:szCs w:val="18"/>
                <w:color w:val="0000FF"/>
              </w:rPr>
              <w:t>pursuant to Section 906 of the Sarbanes-Oxley</w:t>
            </w: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96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7"/>
              </w:rPr>
              <w:t>Act of 2002.</w:t>
            </w:r>
          </w:p>
        </w:tc>
        <w:tc>
          <w:tcPr>
            <w:tcW w:w="2780" w:type="dxa"/>
            <w:vAlign w:val="bottom"/>
            <w:tcBorders>
              <w:top w:val="single" w:sz="8" w:color="0000FF"/>
            </w:tcBorders>
            <w:gridSpan w:val="13"/>
          </w:tcPr>
          <w:p>
            <w:pPr>
              <w:spacing w:after="0"/>
              <w:rPr>
                <w:sz w:val="13"/>
                <w:szCs w:val="13"/>
                <w:color w:val="auto"/>
              </w:rPr>
            </w:pPr>
          </w:p>
        </w:tc>
        <w:tc>
          <w:tcPr>
            <w:tcW w:w="1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0" w:type="dxa"/>
            <w:vAlign w:val="bottom"/>
          </w:tcPr>
          <w:p>
            <w:pPr>
              <w:ind w:left="20"/>
              <w:spacing w:after="0"/>
              <w:rPr>
                <w:sz w:val="20"/>
                <w:szCs w:val="20"/>
                <w:color w:val="auto"/>
              </w:rPr>
            </w:pPr>
            <w:r>
              <w:rPr>
                <w:rFonts w:ascii="Arial" w:cs="Arial" w:eastAsia="Arial" w:hAnsi="Arial"/>
                <w:sz w:val="18"/>
                <w:szCs w:val="18"/>
                <w:color w:val="auto"/>
              </w:rPr>
              <w:t>101.INS</w:t>
            </w:r>
          </w:p>
        </w:tc>
        <w:tc>
          <w:tcPr>
            <w:tcW w:w="3880" w:type="dxa"/>
            <w:vAlign w:val="bottom"/>
            <w:gridSpan w:val="18"/>
          </w:tcPr>
          <w:p>
            <w:pPr>
              <w:spacing w:after="0"/>
              <w:rPr>
                <w:sz w:val="20"/>
                <w:szCs w:val="20"/>
                <w:color w:val="auto"/>
              </w:rPr>
            </w:pPr>
            <w:r>
              <w:rPr>
                <w:rFonts w:ascii="Arial" w:cs="Arial" w:eastAsia="Arial" w:hAnsi="Arial"/>
                <w:sz w:val="18"/>
                <w:szCs w:val="18"/>
                <w:color w:val="auto"/>
              </w:rPr>
              <w:t>Inline XBRL Instance Document - the instance</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3880" w:type="dxa"/>
            <w:vAlign w:val="bottom"/>
            <w:gridSpan w:val="18"/>
          </w:tcPr>
          <w:p>
            <w:pPr>
              <w:spacing w:after="0" w:line="189" w:lineRule="exact"/>
              <w:rPr>
                <w:sz w:val="20"/>
                <w:szCs w:val="20"/>
                <w:color w:val="auto"/>
              </w:rPr>
            </w:pPr>
            <w:r>
              <w:rPr>
                <w:rFonts w:ascii="Arial" w:cs="Arial" w:eastAsia="Arial" w:hAnsi="Arial"/>
                <w:sz w:val="18"/>
                <w:szCs w:val="18"/>
                <w:color w:val="auto"/>
              </w:rPr>
              <w:t>document does not appear in the Interactive</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3880" w:type="dxa"/>
            <w:vAlign w:val="bottom"/>
            <w:gridSpan w:val="18"/>
          </w:tcPr>
          <w:p>
            <w:pPr>
              <w:spacing w:after="0" w:line="176" w:lineRule="exact"/>
              <w:rPr>
                <w:sz w:val="20"/>
                <w:szCs w:val="20"/>
                <w:color w:val="auto"/>
              </w:rPr>
            </w:pPr>
            <w:r>
              <w:rPr>
                <w:rFonts w:ascii="Arial" w:cs="Arial" w:eastAsia="Arial" w:hAnsi="Arial"/>
                <w:sz w:val="18"/>
                <w:szCs w:val="18"/>
                <w:color w:val="auto"/>
              </w:rPr>
              <w:t>Data File because its XBRL tags are embedded</w:t>
            </w: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60" w:type="dxa"/>
            <w:vAlign w:val="bottom"/>
          </w:tcPr>
          <w:p>
            <w:pPr>
              <w:spacing w:after="0"/>
              <w:rPr>
                <w:sz w:val="18"/>
                <w:szCs w:val="18"/>
                <w:color w:val="auto"/>
              </w:rPr>
            </w:pPr>
          </w:p>
        </w:tc>
        <w:tc>
          <w:tcPr>
            <w:tcW w:w="3880" w:type="dxa"/>
            <w:vAlign w:val="bottom"/>
            <w:gridSpan w:val="18"/>
          </w:tcPr>
          <w:p>
            <w:pPr>
              <w:spacing w:after="0"/>
              <w:rPr>
                <w:sz w:val="20"/>
                <w:szCs w:val="20"/>
                <w:color w:val="auto"/>
              </w:rPr>
            </w:pPr>
            <w:r>
              <w:rPr>
                <w:rFonts w:ascii="Arial" w:cs="Arial" w:eastAsia="Arial" w:hAnsi="Arial"/>
                <w:sz w:val="18"/>
                <w:szCs w:val="18"/>
                <w:color w:val="auto"/>
              </w:rPr>
              <w:t>within the Inline XBRL document.</w:t>
            </w: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060" w:type="dxa"/>
            <w:vAlign w:val="bottom"/>
          </w:tcPr>
          <w:p>
            <w:pPr>
              <w:ind w:left="20"/>
              <w:spacing w:after="0" w:line="189" w:lineRule="exact"/>
              <w:rPr>
                <w:sz w:val="20"/>
                <w:szCs w:val="20"/>
                <w:color w:val="auto"/>
              </w:rPr>
            </w:pPr>
            <w:r>
              <w:rPr>
                <w:rFonts w:ascii="Arial" w:cs="Arial" w:eastAsia="Arial" w:hAnsi="Arial"/>
                <w:sz w:val="18"/>
                <w:szCs w:val="18"/>
                <w:color w:val="auto"/>
              </w:rPr>
              <w:t>101.SCH</w:t>
            </w:r>
          </w:p>
        </w:tc>
        <w:tc>
          <w:tcPr>
            <w:tcW w:w="3880" w:type="dxa"/>
            <w:vAlign w:val="bottom"/>
            <w:gridSpan w:val="18"/>
          </w:tcPr>
          <w:p>
            <w:pPr>
              <w:spacing w:after="0" w:line="189" w:lineRule="exact"/>
              <w:rPr>
                <w:sz w:val="20"/>
                <w:szCs w:val="20"/>
                <w:color w:val="auto"/>
              </w:rPr>
            </w:pPr>
            <w:r>
              <w:rPr>
                <w:rFonts w:ascii="Arial" w:cs="Arial" w:eastAsia="Arial" w:hAnsi="Arial"/>
                <w:sz w:val="18"/>
                <w:szCs w:val="18"/>
                <w:color w:val="auto"/>
              </w:rPr>
              <w:t>Inline XBRL Taxonomy Extension Schema</w:t>
            </w:r>
          </w:p>
        </w:tc>
        <w:tc>
          <w:tcPr>
            <w:tcW w:w="88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60" w:type="dxa"/>
            <w:vAlign w:val="bottom"/>
          </w:tcPr>
          <w:p>
            <w:pPr>
              <w:spacing w:after="0"/>
              <w:rPr>
                <w:sz w:val="18"/>
                <w:szCs w:val="18"/>
                <w:color w:val="auto"/>
              </w:rPr>
            </w:pPr>
          </w:p>
        </w:tc>
        <w:tc>
          <w:tcPr>
            <w:tcW w:w="388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60" w:type="dxa"/>
            <w:vAlign w:val="bottom"/>
          </w:tcPr>
          <w:p>
            <w:pPr>
              <w:ind w:left="20"/>
              <w:spacing w:after="0" w:line="201" w:lineRule="exact"/>
              <w:rPr>
                <w:sz w:val="20"/>
                <w:szCs w:val="20"/>
                <w:color w:val="auto"/>
              </w:rPr>
            </w:pPr>
            <w:r>
              <w:rPr>
                <w:rFonts w:ascii="Arial" w:cs="Arial" w:eastAsia="Arial" w:hAnsi="Arial"/>
                <w:sz w:val="18"/>
                <w:szCs w:val="18"/>
                <w:color w:val="auto"/>
              </w:rPr>
              <w:t>101.CAL</w:t>
            </w:r>
          </w:p>
        </w:tc>
        <w:tc>
          <w:tcPr>
            <w:tcW w:w="3880" w:type="dxa"/>
            <w:vAlign w:val="bottom"/>
            <w:gridSpan w:val="18"/>
          </w:tcPr>
          <w:p>
            <w:pPr>
              <w:spacing w:after="0" w:line="201" w:lineRule="exact"/>
              <w:rPr>
                <w:sz w:val="20"/>
                <w:szCs w:val="20"/>
                <w:color w:val="auto"/>
              </w:rPr>
            </w:pPr>
            <w:r>
              <w:rPr>
                <w:rFonts w:ascii="Arial" w:cs="Arial" w:eastAsia="Arial" w:hAnsi="Arial"/>
                <w:sz w:val="18"/>
                <w:szCs w:val="18"/>
                <w:color w:val="auto"/>
              </w:rPr>
              <w:t>Inline XBRL Taxonomy Extension Calculation</w:t>
            </w: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60" w:type="dxa"/>
            <w:vAlign w:val="bottom"/>
          </w:tcPr>
          <w:p>
            <w:pPr>
              <w:spacing w:after="0"/>
              <w:rPr>
                <w:sz w:val="18"/>
                <w:szCs w:val="18"/>
                <w:color w:val="auto"/>
              </w:rPr>
            </w:pPr>
          </w:p>
        </w:tc>
        <w:tc>
          <w:tcPr>
            <w:tcW w:w="3880" w:type="dxa"/>
            <w:vAlign w:val="bottom"/>
            <w:gridSpan w:val="18"/>
          </w:tcPr>
          <w:p>
            <w:pPr>
              <w:spacing w:after="0"/>
              <w:rPr>
                <w:sz w:val="20"/>
                <w:szCs w:val="20"/>
                <w:color w:val="auto"/>
              </w:rPr>
            </w:pPr>
            <w:r>
              <w:rPr>
                <w:rFonts w:ascii="Arial" w:cs="Arial" w:eastAsia="Arial" w:hAnsi="Arial"/>
                <w:sz w:val="18"/>
                <w:szCs w:val="18"/>
                <w:color w:val="auto"/>
              </w:rPr>
              <w:t>Linkbase Document</w:t>
            </w: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60" w:type="dxa"/>
            <w:vAlign w:val="bottom"/>
          </w:tcPr>
          <w:p>
            <w:pPr>
              <w:ind w:left="20"/>
              <w:spacing w:after="0" w:line="201" w:lineRule="exact"/>
              <w:rPr>
                <w:sz w:val="20"/>
                <w:szCs w:val="20"/>
                <w:color w:val="auto"/>
              </w:rPr>
            </w:pPr>
            <w:r>
              <w:rPr>
                <w:rFonts w:ascii="Arial" w:cs="Arial" w:eastAsia="Arial" w:hAnsi="Arial"/>
                <w:sz w:val="18"/>
                <w:szCs w:val="18"/>
                <w:color w:val="auto"/>
              </w:rPr>
              <w:t>101.LAB</w:t>
            </w:r>
          </w:p>
        </w:tc>
        <w:tc>
          <w:tcPr>
            <w:tcW w:w="3880" w:type="dxa"/>
            <w:vAlign w:val="bottom"/>
            <w:gridSpan w:val="18"/>
          </w:tcPr>
          <w:p>
            <w:pPr>
              <w:spacing w:after="0" w:line="201" w:lineRule="exact"/>
              <w:rPr>
                <w:sz w:val="20"/>
                <w:szCs w:val="20"/>
                <w:color w:val="auto"/>
              </w:rPr>
            </w:pPr>
            <w:r>
              <w:rPr>
                <w:rFonts w:ascii="Arial" w:cs="Arial" w:eastAsia="Arial" w:hAnsi="Arial"/>
                <w:sz w:val="18"/>
                <w:szCs w:val="18"/>
                <w:color w:val="auto"/>
              </w:rPr>
              <w:t>Inline XBRL Taxonomy Extension Label</w:t>
            </w: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60" w:type="dxa"/>
            <w:vAlign w:val="bottom"/>
          </w:tcPr>
          <w:p>
            <w:pPr>
              <w:spacing w:after="0"/>
              <w:rPr>
                <w:sz w:val="18"/>
                <w:szCs w:val="18"/>
                <w:color w:val="auto"/>
              </w:rPr>
            </w:pPr>
          </w:p>
        </w:tc>
        <w:tc>
          <w:tcPr>
            <w:tcW w:w="3880" w:type="dxa"/>
            <w:vAlign w:val="bottom"/>
            <w:gridSpan w:val="18"/>
          </w:tcPr>
          <w:p>
            <w:pPr>
              <w:spacing w:after="0"/>
              <w:rPr>
                <w:sz w:val="20"/>
                <w:szCs w:val="20"/>
                <w:color w:val="auto"/>
              </w:rPr>
            </w:pPr>
            <w:r>
              <w:rPr>
                <w:rFonts w:ascii="Arial" w:cs="Arial" w:eastAsia="Arial" w:hAnsi="Arial"/>
                <w:sz w:val="18"/>
                <w:szCs w:val="18"/>
                <w:color w:val="auto"/>
              </w:rPr>
              <w:t>Linkbase Document</w:t>
            </w: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60" w:type="dxa"/>
            <w:vAlign w:val="bottom"/>
          </w:tcPr>
          <w:p>
            <w:pPr>
              <w:ind w:left="20"/>
              <w:spacing w:after="0" w:line="201" w:lineRule="exact"/>
              <w:rPr>
                <w:sz w:val="20"/>
                <w:szCs w:val="20"/>
                <w:color w:val="auto"/>
              </w:rPr>
            </w:pPr>
            <w:r>
              <w:rPr>
                <w:rFonts w:ascii="Arial" w:cs="Arial" w:eastAsia="Arial" w:hAnsi="Arial"/>
                <w:sz w:val="18"/>
                <w:szCs w:val="18"/>
                <w:color w:val="auto"/>
              </w:rPr>
              <w:t>101.PRE</w:t>
            </w:r>
          </w:p>
        </w:tc>
        <w:tc>
          <w:tcPr>
            <w:tcW w:w="3880" w:type="dxa"/>
            <w:vAlign w:val="bottom"/>
            <w:gridSpan w:val="18"/>
          </w:tcPr>
          <w:p>
            <w:pPr>
              <w:spacing w:after="0" w:line="201" w:lineRule="exact"/>
              <w:rPr>
                <w:sz w:val="20"/>
                <w:szCs w:val="20"/>
                <w:color w:val="auto"/>
              </w:rPr>
            </w:pPr>
            <w:r>
              <w:rPr>
                <w:rFonts w:ascii="Arial" w:cs="Arial" w:eastAsia="Arial" w:hAnsi="Arial"/>
                <w:sz w:val="18"/>
                <w:szCs w:val="18"/>
                <w:color w:val="auto"/>
              </w:rPr>
              <w:t>Inline XBRL Taxonomy Extension Presentation</w:t>
            </w: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60" w:type="dxa"/>
            <w:vAlign w:val="bottom"/>
          </w:tcPr>
          <w:p>
            <w:pPr>
              <w:spacing w:after="0"/>
              <w:rPr>
                <w:sz w:val="18"/>
                <w:szCs w:val="18"/>
                <w:color w:val="auto"/>
              </w:rPr>
            </w:pPr>
          </w:p>
        </w:tc>
        <w:tc>
          <w:tcPr>
            <w:tcW w:w="3880" w:type="dxa"/>
            <w:vAlign w:val="bottom"/>
            <w:gridSpan w:val="18"/>
          </w:tcPr>
          <w:p>
            <w:pPr>
              <w:spacing w:after="0"/>
              <w:rPr>
                <w:sz w:val="20"/>
                <w:szCs w:val="20"/>
                <w:color w:val="auto"/>
              </w:rPr>
            </w:pPr>
            <w:r>
              <w:rPr>
                <w:rFonts w:ascii="Arial" w:cs="Arial" w:eastAsia="Arial" w:hAnsi="Arial"/>
                <w:sz w:val="18"/>
                <w:szCs w:val="18"/>
                <w:color w:val="auto"/>
              </w:rPr>
              <w:t>Linkbase Document</w:t>
            </w: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60" w:type="dxa"/>
            <w:vAlign w:val="bottom"/>
          </w:tcPr>
          <w:p>
            <w:pPr>
              <w:ind w:left="20"/>
              <w:spacing w:after="0" w:line="201" w:lineRule="exact"/>
              <w:rPr>
                <w:sz w:val="20"/>
                <w:szCs w:val="20"/>
                <w:color w:val="auto"/>
              </w:rPr>
            </w:pPr>
            <w:r>
              <w:rPr>
                <w:rFonts w:ascii="Arial" w:cs="Arial" w:eastAsia="Arial" w:hAnsi="Arial"/>
                <w:sz w:val="18"/>
                <w:szCs w:val="18"/>
                <w:color w:val="auto"/>
              </w:rPr>
              <w:t>101.DEF</w:t>
            </w:r>
          </w:p>
        </w:tc>
        <w:tc>
          <w:tcPr>
            <w:tcW w:w="3880" w:type="dxa"/>
            <w:vAlign w:val="bottom"/>
            <w:gridSpan w:val="18"/>
          </w:tcPr>
          <w:p>
            <w:pPr>
              <w:spacing w:after="0" w:line="201" w:lineRule="exact"/>
              <w:rPr>
                <w:sz w:val="20"/>
                <w:szCs w:val="20"/>
                <w:color w:val="auto"/>
              </w:rPr>
            </w:pPr>
            <w:r>
              <w:rPr>
                <w:rFonts w:ascii="Arial" w:cs="Arial" w:eastAsia="Arial" w:hAnsi="Arial"/>
                <w:sz w:val="18"/>
                <w:szCs w:val="18"/>
                <w:color w:val="auto"/>
              </w:rPr>
              <w:t>Inline XBRL Taxonomy Extension Definition</w:t>
            </w: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60" w:type="dxa"/>
            <w:vAlign w:val="bottom"/>
          </w:tcPr>
          <w:p>
            <w:pPr>
              <w:spacing w:after="0"/>
              <w:rPr>
                <w:sz w:val="18"/>
                <w:szCs w:val="18"/>
                <w:color w:val="auto"/>
              </w:rPr>
            </w:pPr>
          </w:p>
        </w:tc>
        <w:tc>
          <w:tcPr>
            <w:tcW w:w="3880" w:type="dxa"/>
            <w:vAlign w:val="bottom"/>
            <w:gridSpan w:val="18"/>
          </w:tcPr>
          <w:p>
            <w:pPr>
              <w:spacing w:after="0"/>
              <w:rPr>
                <w:sz w:val="20"/>
                <w:szCs w:val="20"/>
                <w:color w:val="auto"/>
              </w:rPr>
            </w:pPr>
            <w:r>
              <w:rPr>
                <w:rFonts w:ascii="Arial" w:cs="Arial" w:eastAsia="Arial" w:hAnsi="Arial"/>
                <w:sz w:val="18"/>
                <w:szCs w:val="18"/>
                <w:color w:val="auto"/>
              </w:rPr>
              <w:t>Linkbase Document</w:t>
            </w: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60" w:type="dxa"/>
            <w:vAlign w:val="bottom"/>
          </w:tcPr>
          <w:p>
            <w:pPr>
              <w:ind w:left="20"/>
              <w:spacing w:after="0" w:line="201" w:lineRule="exact"/>
              <w:rPr>
                <w:sz w:val="20"/>
                <w:szCs w:val="20"/>
                <w:color w:val="auto"/>
              </w:rPr>
            </w:pPr>
            <w:r>
              <w:rPr>
                <w:rFonts w:ascii="Arial" w:cs="Arial" w:eastAsia="Arial" w:hAnsi="Arial"/>
                <w:sz w:val="18"/>
                <w:szCs w:val="18"/>
                <w:color w:val="auto"/>
              </w:rPr>
              <w:t>104</w:t>
            </w:r>
          </w:p>
        </w:tc>
        <w:tc>
          <w:tcPr>
            <w:tcW w:w="3880" w:type="dxa"/>
            <w:vAlign w:val="bottom"/>
            <w:gridSpan w:val="18"/>
          </w:tcPr>
          <w:p>
            <w:pPr>
              <w:spacing w:after="0" w:line="201" w:lineRule="exact"/>
              <w:rPr>
                <w:sz w:val="20"/>
                <w:szCs w:val="20"/>
                <w:color w:val="auto"/>
              </w:rPr>
            </w:pPr>
            <w:r>
              <w:rPr>
                <w:rFonts w:ascii="Arial" w:cs="Arial" w:eastAsia="Arial" w:hAnsi="Arial"/>
                <w:sz w:val="18"/>
                <w:szCs w:val="18"/>
                <w:color w:val="auto"/>
              </w:rPr>
              <w:t>Cover Page Interactive Data File (formatted as</w:t>
            </w:r>
          </w:p>
        </w:tc>
        <w:tc>
          <w:tcPr>
            <w:tcW w:w="880" w:type="dxa"/>
            <w:vAlign w:val="bottom"/>
          </w:tcPr>
          <w:p>
            <w:pPr>
              <w:jc w:val="center"/>
              <w:spacing w:after="0" w:line="201" w:lineRule="exact"/>
              <w:rPr>
                <w:sz w:val="20"/>
                <w:szCs w:val="20"/>
                <w:color w:val="auto"/>
              </w:rPr>
            </w:pPr>
            <w:r>
              <w:rPr>
                <w:rFonts w:ascii="Arial" w:cs="Arial" w:eastAsia="Arial" w:hAnsi="Arial"/>
                <w:sz w:val="18"/>
                <w:szCs w:val="18"/>
                <w:color w:val="auto"/>
                <w:w w:val="99"/>
              </w:rPr>
              <w:t>X</w:t>
            </w: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60" w:type="dxa"/>
            <w:vAlign w:val="bottom"/>
          </w:tcPr>
          <w:p>
            <w:pPr>
              <w:spacing w:after="0"/>
              <w:rPr>
                <w:sz w:val="18"/>
                <w:szCs w:val="18"/>
                <w:color w:val="auto"/>
              </w:rPr>
            </w:pPr>
          </w:p>
        </w:tc>
        <w:tc>
          <w:tcPr>
            <w:tcW w:w="3880" w:type="dxa"/>
            <w:vAlign w:val="bottom"/>
            <w:gridSpan w:val="18"/>
          </w:tcPr>
          <w:p>
            <w:pPr>
              <w:spacing w:after="0"/>
              <w:rPr>
                <w:sz w:val="20"/>
                <w:szCs w:val="20"/>
                <w:color w:val="auto"/>
              </w:rPr>
            </w:pPr>
            <w:r>
              <w:rPr>
                <w:rFonts w:ascii="Arial" w:cs="Arial" w:eastAsia="Arial" w:hAnsi="Arial"/>
                <w:sz w:val="18"/>
                <w:szCs w:val="18"/>
                <w:color w:val="auto"/>
              </w:rPr>
              <w:t>inline XBRL and contained in Exhibit 101)</w:t>
            </w: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80" w:hanging="254"/>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Indicates the exhibit is a management contract or compensatory plan or arrangement.</w:t>
      </w:r>
    </w:p>
    <w:p>
      <w:pPr>
        <w:spacing w:after="0" w:line="131" w:lineRule="exact"/>
        <w:rPr>
          <w:sz w:val="20"/>
          <w:szCs w:val="20"/>
          <w:color w:val="auto"/>
        </w:rPr>
      </w:pPr>
    </w:p>
    <w:p>
      <w:pPr>
        <w:ind w:left="280" w:right="1060" w:hanging="254"/>
        <w:spacing w:after="0" w:line="199" w:lineRule="auto"/>
        <w:tabs>
          <w:tab w:leader="none" w:pos="280" w:val="left"/>
        </w:tabs>
        <w:numPr>
          <w:ilvl w:val="0"/>
          <w:numId w:val="33"/>
        </w:numPr>
        <w:rPr>
          <w:rFonts w:ascii="Arial" w:cs="Arial" w:eastAsia="Arial" w:hAnsi="Arial"/>
          <w:sz w:val="23"/>
          <w:szCs w:val="23"/>
          <w:color w:val="auto"/>
          <w:vertAlign w:val="subscript"/>
        </w:rPr>
      </w:pPr>
      <w:r>
        <w:rPr>
          <w:rFonts w:ascii="Arial" w:cs="Arial" w:eastAsia="Arial" w:hAnsi="Arial"/>
          <w:sz w:val="18"/>
          <w:szCs w:val="18"/>
          <w:color w:val="auto"/>
        </w:rPr>
        <w:t>Pursuant to Regulation S-K 601(b)(10)(iv), certain exhibits to this Exhibit have been omitted. The Company agrees to furnish supplementally to the Securities and Exchange Commission, upon its request, a copy of any or all omitted exhibits.</w:t>
      </w:r>
    </w:p>
    <w:p>
      <w:pPr>
        <w:spacing w:after="0" w:line="200" w:lineRule="exact"/>
        <w:rPr>
          <w:sz w:val="20"/>
          <w:szCs w:val="20"/>
          <w:color w:val="auto"/>
        </w:rPr>
      </w:pPr>
    </w:p>
    <w:p>
      <w:pPr>
        <w:spacing w:after="0" w:line="23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jc w:val="center"/>
        <w:ind w:right="756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3056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jc w:val="center"/>
        <w:ind w:right="7560"/>
        <w:spacing w:after="0"/>
        <w:rPr>
          <w:sz w:val="20"/>
          <w:szCs w:val="20"/>
          <w:color w:val="auto"/>
        </w:rPr>
      </w:pPr>
      <w:r>
        <w:rPr>
          <w:rFonts w:ascii="Arial" w:cs="Arial" w:eastAsia="Arial" w:hAnsi="Arial"/>
          <w:sz w:val="18"/>
          <w:szCs w:val="18"/>
          <w:color w:val="auto"/>
        </w:rPr>
        <w:t>(Registrant)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rPr>
              <w:t>Signature</w:t>
            </w:r>
          </w:p>
        </w:tc>
        <w:tc>
          <w:tcPr>
            <w:tcW w:w="1400" w:type="dxa"/>
            <w:vAlign w:val="bottom"/>
          </w:tcPr>
          <w:p>
            <w:pPr>
              <w:spacing w:after="0"/>
              <w:rPr>
                <w:sz w:val="17"/>
                <w:szCs w:val="17"/>
                <w:color w:val="auto"/>
              </w:rPr>
            </w:pPr>
          </w:p>
        </w:tc>
        <w:tc>
          <w:tcPr>
            <w:tcW w:w="5120" w:type="dxa"/>
            <w:vAlign w:val="bottom"/>
            <w:gridSpan w:val="3"/>
          </w:tcPr>
          <w:p>
            <w:pPr>
              <w:ind w:left="2640"/>
              <w:spacing w:after="0"/>
              <w:rPr>
                <w:sz w:val="20"/>
                <w:szCs w:val="20"/>
                <w:color w:val="auto"/>
              </w:rPr>
            </w:pPr>
            <w:r>
              <w:rPr>
                <w:rFonts w:ascii="Arial" w:cs="Arial" w:eastAsia="Arial" w:hAnsi="Arial"/>
                <w:sz w:val="18"/>
                <w:szCs w:val="18"/>
                <w:b w:val="1"/>
                <w:bCs w:val="1"/>
                <w:color w:val="auto"/>
              </w:rPr>
              <w:t>Title</w:t>
            </w:r>
          </w:p>
        </w:tc>
        <w:tc>
          <w:tcPr>
            <w:tcW w:w="188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7"/>
              </w:rPr>
              <w:t>Date</w:t>
            </w:r>
          </w:p>
        </w:tc>
      </w:tr>
      <w:tr>
        <w:trPr>
          <w:trHeight w:val="20"/>
        </w:trPr>
        <w:tc>
          <w:tcPr>
            <w:tcW w:w="1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1"/>
        </w:trPr>
        <w:tc>
          <w:tcPr>
            <w:tcW w:w="3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C. MARK HUSSEY</w:t>
            </w:r>
          </w:p>
        </w:tc>
        <w:tc>
          <w:tcPr>
            <w:tcW w:w="5120" w:type="dxa"/>
            <w:vAlign w:val="bottom"/>
            <w:gridSpan w:val="3"/>
          </w:tcPr>
          <w:p>
            <w:pPr>
              <w:ind w:left="300"/>
              <w:spacing w:after="0"/>
              <w:rPr>
                <w:sz w:val="20"/>
                <w:szCs w:val="20"/>
                <w:color w:val="auto"/>
              </w:rPr>
            </w:pPr>
            <w:r>
              <w:rPr>
                <w:rFonts w:ascii="Arial" w:cs="Arial" w:eastAsia="Arial" w:hAnsi="Arial"/>
                <w:sz w:val="18"/>
                <w:szCs w:val="18"/>
                <w:color w:val="auto"/>
              </w:rPr>
              <w:t>President, Chief Executive Officer and Director</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2/28/2023</w:t>
            </w:r>
          </w:p>
        </w:tc>
      </w:tr>
      <w:tr>
        <w:trPr>
          <w:trHeight w:val="237"/>
        </w:trPr>
        <w:tc>
          <w:tcPr>
            <w:tcW w:w="3640" w:type="dxa"/>
            <w:vAlign w:val="bottom"/>
            <w:gridSpan w:val="3"/>
          </w:tcPr>
          <w:p>
            <w:pPr>
              <w:jc w:val="center"/>
              <w:spacing w:after="0"/>
              <w:rPr>
                <w:sz w:val="20"/>
                <w:szCs w:val="20"/>
                <w:color w:val="auto"/>
              </w:rPr>
            </w:pPr>
            <w:r>
              <w:rPr>
                <w:rFonts w:ascii="Arial" w:cs="Arial" w:eastAsia="Arial" w:hAnsi="Arial"/>
                <w:sz w:val="18"/>
                <w:szCs w:val="18"/>
                <w:color w:val="auto"/>
                <w:w w:val="99"/>
              </w:rPr>
              <w:t>C. Mark Hussey</w:t>
            </w:r>
          </w:p>
        </w:tc>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C. Mark Hussey, John D. Kelly, and Ernest W. Torain, Jr., and each of them, his true and lawful attorneys-in-fact and agents, with full power of substitution and resubstitution, for him and in his name, place and stead, in any and all capacities, to sign any and all amendments to this report, and to file the same, with all and any other regulatory authority,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5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rPr>
              <w:t>Signature</w:t>
            </w:r>
          </w:p>
        </w:tc>
        <w:tc>
          <w:tcPr>
            <w:tcW w:w="1400" w:type="dxa"/>
            <w:vAlign w:val="bottom"/>
          </w:tcPr>
          <w:p>
            <w:pPr>
              <w:spacing w:after="0"/>
              <w:rPr>
                <w:sz w:val="18"/>
                <w:szCs w:val="18"/>
                <w:color w:val="auto"/>
              </w:rPr>
            </w:pPr>
          </w:p>
        </w:tc>
        <w:tc>
          <w:tcPr>
            <w:tcW w:w="5760" w:type="dxa"/>
            <w:vAlign w:val="bottom"/>
            <w:gridSpan w:val="3"/>
          </w:tcPr>
          <w:p>
            <w:pPr>
              <w:ind w:left="2640"/>
              <w:spacing w:after="0"/>
              <w:rPr>
                <w:sz w:val="20"/>
                <w:szCs w:val="20"/>
                <w:color w:val="auto"/>
              </w:rPr>
            </w:pPr>
            <w:r>
              <w:rPr>
                <w:rFonts w:ascii="Arial" w:cs="Arial" w:eastAsia="Arial" w:hAnsi="Arial"/>
                <w:sz w:val="18"/>
                <w:szCs w:val="18"/>
                <w:b w:val="1"/>
                <w:bCs w:val="1"/>
                <w:color w:val="auto"/>
              </w:rPr>
              <w:t>Title</w:t>
            </w:r>
          </w:p>
        </w:tc>
        <w:tc>
          <w:tcPr>
            <w:tcW w:w="124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gridSpan w:val="2"/>
          </w:tcPr>
          <w:p>
            <w:pPr>
              <w:ind w:left="760"/>
              <w:spacing w:after="0"/>
              <w:rPr>
                <w:sz w:val="20"/>
                <w:szCs w:val="20"/>
                <w:color w:val="auto"/>
              </w:rPr>
            </w:pPr>
            <w:r>
              <w:rPr>
                <w:rFonts w:ascii="Arial" w:cs="Arial" w:eastAsia="Arial" w:hAnsi="Arial"/>
                <w:sz w:val="18"/>
                <w:szCs w:val="18"/>
                <w:color w:val="auto"/>
              </w:rPr>
              <w:t>/s/</w:t>
            </w:r>
          </w:p>
        </w:tc>
        <w:tc>
          <w:tcPr>
            <w:tcW w:w="2500" w:type="dxa"/>
            <w:vAlign w:val="bottom"/>
            <w:gridSpan w:val="3"/>
          </w:tcPr>
          <w:p>
            <w:pPr>
              <w:ind w:left="20"/>
              <w:spacing w:after="0"/>
              <w:rPr>
                <w:sz w:val="20"/>
                <w:szCs w:val="20"/>
                <w:color w:val="auto"/>
              </w:rPr>
            </w:pPr>
            <w:r>
              <w:rPr>
                <w:rFonts w:ascii="Arial" w:cs="Arial" w:eastAsia="Arial" w:hAnsi="Arial"/>
                <w:sz w:val="18"/>
                <w:szCs w:val="18"/>
                <w:color w:val="auto"/>
              </w:rPr>
              <w:t>C. MARK HUSSEY</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President, Chief Executive Officer and Director</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2/28/2023</w:t>
            </w:r>
          </w:p>
        </w:tc>
        <w:tc>
          <w:tcPr>
            <w:tcW w:w="0" w:type="dxa"/>
            <w:vAlign w:val="bottom"/>
          </w:tcPr>
          <w:p>
            <w:pPr>
              <w:spacing w:after="0"/>
              <w:rPr>
                <w:sz w:val="1"/>
                <w:szCs w:val="1"/>
                <w:color w:val="auto"/>
              </w:rPr>
            </w:pPr>
          </w:p>
        </w:tc>
      </w:tr>
      <w:tr>
        <w:trPr>
          <w:trHeight w:val="68"/>
        </w:trPr>
        <w:tc>
          <w:tcPr>
            <w:tcW w:w="8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5760" w:type="dxa"/>
            <w:vAlign w:val="bottom"/>
            <w:gridSpan w:val="3"/>
            <w:vMerge w:val="restart"/>
          </w:tcPr>
          <w:p>
            <w:pPr>
              <w:ind w:left="300"/>
              <w:spacing w:after="0"/>
              <w:rPr>
                <w:sz w:val="20"/>
                <w:szCs w:val="20"/>
                <w:color w:val="auto"/>
              </w:rPr>
            </w:pPr>
            <w:r>
              <w:rPr>
                <w:rFonts w:ascii="Arial" w:cs="Arial" w:eastAsia="Arial" w:hAnsi="Arial"/>
                <w:sz w:val="18"/>
                <w:szCs w:val="18"/>
                <w:i w:val="1"/>
                <w:iCs w:val="1"/>
                <w:color w:val="auto"/>
              </w:rPr>
              <w:t>(Principal Executive Officer)</w:t>
            </w: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00" w:type="dxa"/>
            <w:vAlign w:val="bottom"/>
            <w:gridSpan w:val="3"/>
            <w:vMerge w:val="restart"/>
          </w:tcPr>
          <w:p>
            <w:pPr>
              <w:jc w:val="center"/>
              <w:ind w:right="1140"/>
              <w:spacing w:after="0"/>
              <w:rPr>
                <w:sz w:val="20"/>
                <w:szCs w:val="20"/>
                <w:color w:val="auto"/>
              </w:rPr>
            </w:pPr>
            <w:r>
              <w:rPr>
                <w:rFonts w:ascii="Arial" w:cs="Arial" w:eastAsia="Arial" w:hAnsi="Arial"/>
                <w:sz w:val="18"/>
                <w:szCs w:val="18"/>
                <w:color w:val="auto"/>
                <w:w w:val="99"/>
              </w:rPr>
              <w:t>C. Mark Hussey</w:t>
            </w:r>
          </w:p>
        </w:tc>
        <w:tc>
          <w:tcPr>
            <w:tcW w:w="576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500" w:type="dxa"/>
            <w:vAlign w:val="bottom"/>
            <w:gridSpan w:val="3"/>
            <w:vMerge w:val="continue"/>
          </w:tcPr>
          <w:p>
            <w:pPr>
              <w:spacing w:after="0"/>
              <w:rPr>
                <w:sz w:val="7"/>
                <w:szCs w:val="7"/>
                <w:color w:val="auto"/>
              </w:rPr>
            </w:pPr>
          </w:p>
        </w:tc>
        <w:tc>
          <w:tcPr>
            <w:tcW w:w="2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8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/s/</w:t>
            </w:r>
          </w:p>
        </w:tc>
        <w:tc>
          <w:tcPr>
            <w:tcW w:w="2800" w:type="dxa"/>
            <w:vAlign w:val="bottom"/>
            <w:tcBorders>
              <w:bottom w:val="single" w:sz="8" w:color="auto"/>
            </w:tcBorders>
            <w:gridSpan w:val="4"/>
          </w:tcPr>
          <w:p>
            <w:pPr>
              <w:jc w:val="center"/>
              <w:ind w:right="840"/>
              <w:spacing w:after="0"/>
              <w:rPr>
                <w:sz w:val="20"/>
                <w:szCs w:val="20"/>
                <w:color w:val="auto"/>
              </w:rPr>
            </w:pPr>
            <w:r>
              <w:rPr>
                <w:rFonts w:ascii="Arial" w:cs="Arial" w:eastAsia="Arial" w:hAnsi="Arial"/>
                <w:sz w:val="18"/>
                <w:szCs w:val="18"/>
                <w:color w:val="auto"/>
                <w:w w:val="99"/>
              </w:rPr>
              <w:t>JOHN F. MCCARTNEY</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Non-Executive Chairman of the Board</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2/28/2023</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2800" w:type="dxa"/>
            <w:vAlign w:val="bottom"/>
            <w:gridSpan w:val="4"/>
          </w:tcPr>
          <w:p>
            <w:pPr>
              <w:jc w:val="center"/>
              <w:ind w:right="820"/>
              <w:spacing w:after="0"/>
              <w:rPr>
                <w:sz w:val="20"/>
                <w:szCs w:val="20"/>
                <w:color w:val="auto"/>
              </w:rPr>
            </w:pPr>
            <w:r>
              <w:rPr>
                <w:rFonts w:ascii="Arial" w:cs="Arial" w:eastAsia="Arial" w:hAnsi="Arial"/>
                <w:sz w:val="18"/>
                <w:szCs w:val="18"/>
                <w:color w:val="auto"/>
                <w:w w:val="98"/>
              </w:rPr>
              <w:t>John F. McCartney</w:t>
            </w:r>
          </w:p>
        </w:tc>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/s/</w:t>
            </w:r>
          </w:p>
        </w:tc>
        <w:tc>
          <w:tcPr>
            <w:tcW w:w="2500" w:type="dxa"/>
            <w:vAlign w:val="bottom"/>
            <w:tcBorders>
              <w:bottom w:val="single" w:sz="8" w:color="auto"/>
            </w:tcBorders>
            <w:gridSpan w:val="3"/>
          </w:tcPr>
          <w:p>
            <w:pPr>
              <w:jc w:val="center"/>
              <w:ind w:right="740"/>
              <w:spacing w:after="0"/>
              <w:rPr>
                <w:sz w:val="20"/>
                <w:szCs w:val="20"/>
                <w:color w:val="auto"/>
              </w:rPr>
            </w:pPr>
            <w:r>
              <w:rPr>
                <w:rFonts w:ascii="Arial" w:cs="Arial" w:eastAsia="Arial" w:hAnsi="Arial"/>
                <w:sz w:val="18"/>
                <w:szCs w:val="18"/>
                <w:color w:val="auto"/>
              </w:rPr>
              <w:t>JAMES H. ROTH</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Vice Chairman of the Board</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2/28/2023</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3"/>
          </w:tcPr>
          <w:p>
            <w:pPr>
              <w:jc w:val="center"/>
              <w:ind w:right="1140"/>
              <w:spacing w:after="0"/>
              <w:rPr>
                <w:sz w:val="20"/>
                <w:szCs w:val="20"/>
                <w:color w:val="auto"/>
              </w:rPr>
            </w:pPr>
            <w:r>
              <w:rPr>
                <w:rFonts w:ascii="Arial" w:cs="Arial" w:eastAsia="Arial" w:hAnsi="Arial"/>
                <w:sz w:val="18"/>
                <w:szCs w:val="18"/>
                <w:color w:val="auto"/>
              </w:rPr>
              <w:t>James H. Roth</w:t>
            </w:r>
          </w:p>
        </w:tc>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40" w:type="dxa"/>
            <w:vAlign w:val="bottom"/>
          </w:tcPr>
          <w:p>
            <w:pPr>
              <w:spacing w:after="0"/>
              <w:rPr>
                <w:sz w:val="21"/>
                <w:szCs w:val="21"/>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/s/</w:t>
            </w: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rPr>
              <w:t>JOHN D. KELLY</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Executive Vice President, Chief Financial Officer and Treasurer</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2/28/2023</w:t>
            </w:r>
          </w:p>
        </w:tc>
        <w:tc>
          <w:tcPr>
            <w:tcW w:w="0" w:type="dxa"/>
            <w:vAlign w:val="bottom"/>
          </w:tcPr>
          <w:p>
            <w:pPr>
              <w:spacing w:after="0"/>
              <w:rPr>
                <w:sz w:val="1"/>
                <w:szCs w:val="1"/>
                <w:color w:val="auto"/>
              </w:rPr>
            </w:pPr>
          </w:p>
        </w:tc>
      </w:tr>
      <w:tr>
        <w:trPr>
          <w:trHeight w:val="82"/>
        </w:trPr>
        <w:tc>
          <w:tcPr>
            <w:tcW w:w="8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5760" w:type="dxa"/>
            <w:vAlign w:val="bottom"/>
            <w:gridSpan w:val="3"/>
            <w:vMerge w:val="restart"/>
          </w:tcPr>
          <w:p>
            <w:pPr>
              <w:ind w:left="300"/>
              <w:spacing w:after="0"/>
              <w:rPr>
                <w:sz w:val="20"/>
                <w:szCs w:val="20"/>
                <w:color w:val="auto"/>
              </w:rPr>
            </w:pPr>
            <w:r>
              <w:rPr>
                <w:rFonts w:ascii="Arial" w:cs="Arial" w:eastAsia="Arial" w:hAnsi="Arial"/>
                <w:sz w:val="18"/>
                <w:szCs w:val="18"/>
                <w:i w:val="1"/>
                <w:iCs w:val="1"/>
                <w:color w:val="auto"/>
              </w:rPr>
              <w:t>(Principal Financial Officer)</w:t>
            </w: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00" w:type="dxa"/>
            <w:vAlign w:val="bottom"/>
            <w:gridSpan w:val="3"/>
            <w:vMerge w:val="restart"/>
          </w:tcPr>
          <w:p>
            <w:pPr>
              <w:jc w:val="center"/>
              <w:ind w:right="1120"/>
              <w:spacing w:after="0"/>
              <w:rPr>
                <w:sz w:val="20"/>
                <w:szCs w:val="20"/>
                <w:color w:val="auto"/>
              </w:rPr>
            </w:pPr>
            <w:r>
              <w:rPr>
                <w:rFonts w:ascii="Arial" w:cs="Arial" w:eastAsia="Arial" w:hAnsi="Arial"/>
                <w:sz w:val="18"/>
                <w:szCs w:val="18"/>
                <w:color w:val="auto"/>
                <w:w w:val="99"/>
              </w:rPr>
              <w:t>John D. Kelly</w:t>
            </w:r>
          </w:p>
        </w:tc>
        <w:tc>
          <w:tcPr>
            <w:tcW w:w="576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2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8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w:t>
            </w:r>
          </w:p>
        </w:tc>
        <w:tc>
          <w:tcPr>
            <w:tcW w:w="28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9"/>
              </w:rPr>
              <w:t>KYLE D. FEATHERSTONE</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 xml:space="preserve">Chief Accounting Officer </w:t>
            </w:r>
            <w:r>
              <w:rPr>
                <w:rFonts w:ascii="Arial" w:cs="Arial" w:eastAsia="Arial" w:hAnsi="Arial"/>
                <w:sz w:val="18"/>
                <w:szCs w:val="18"/>
                <w:i w:val="1"/>
                <w:iCs w:val="1"/>
                <w:color w:val="auto"/>
              </w:rPr>
              <w:t>(Principal Accounting Officer)</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2/28/2023</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2800" w:type="dxa"/>
            <w:vAlign w:val="bottom"/>
            <w:gridSpan w:val="4"/>
          </w:tcPr>
          <w:p>
            <w:pPr>
              <w:jc w:val="center"/>
              <w:ind w:right="840"/>
              <w:spacing w:after="0"/>
              <w:rPr>
                <w:sz w:val="20"/>
                <w:szCs w:val="20"/>
                <w:color w:val="auto"/>
              </w:rPr>
            </w:pPr>
            <w:r>
              <w:rPr>
                <w:rFonts w:ascii="Arial" w:cs="Arial" w:eastAsia="Arial" w:hAnsi="Arial"/>
                <w:sz w:val="18"/>
                <w:szCs w:val="18"/>
                <w:color w:val="auto"/>
                <w:w w:val="99"/>
              </w:rPr>
              <w:t>Kyle D. Featherstone</w:t>
            </w:r>
          </w:p>
        </w:tc>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center"/>
              <w:ind w:right="840"/>
              <w:spacing w:after="0"/>
              <w:rPr>
                <w:sz w:val="20"/>
                <w:szCs w:val="20"/>
                <w:color w:val="auto"/>
              </w:rPr>
            </w:pPr>
            <w:r>
              <w:rPr>
                <w:rFonts w:ascii="Arial" w:cs="Arial" w:eastAsia="Arial" w:hAnsi="Arial"/>
                <w:sz w:val="18"/>
                <w:szCs w:val="18"/>
                <w:color w:val="auto"/>
              </w:rPr>
              <w:t>/s/  JOY T. BROWN</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2/28/2023</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3"/>
          </w:tcPr>
          <w:p>
            <w:pPr>
              <w:jc w:val="center"/>
              <w:ind w:right="1140"/>
              <w:spacing w:after="0"/>
              <w:rPr>
                <w:sz w:val="20"/>
                <w:szCs w:val="20"/>
                <w:color w:val="auto"/>
              </w:rPr>
            </w:pPr>
            <w:r>
              <w:rPr>
                <w:rFonts w:ascii="Arial" w:cs="Arial" w:eastAsia="Arial" w:hAnsi="Arial"/>
                <w:sz w:val="18"/>
                <w:szCs w:val="18"/>
                <w:color w:val="auto"/>
                <w:w w:val="98"/>
              </w:rPr>
              <w:t>Joy T. Brown</w:t>
            </w:r>
          </w:p>
        </w:tc>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/s/</w:t>
            </w:r>
          </w:p>
        </w:tc>
        <w:tc>
          <w:tcPr>
            <w:tcW w:w="2800" w:type="dxa"/>
            <w:vAlign w:val="bottom"/>
            <w:tcBorders>
              <w:bottom w:val="single" w:sz="8" w:color="auto"/>
            </w:tcBorders>
            <w:gridSpan w:val="4"/>
          </w:tcPr>
          <w:p>
            <w:pPr>
              <w:jc w:val="center"/>
              <w:ind w:right="500"/>
              <w:spacing w:after="0"/>
              <w:rPr>
                <w:sz w:val="20"/>
                <w:szCs w:val="20"/>
                <w:color w:val="auto"/>
              </w:rPr>
            </w:pPr>
            <w:r>
              <w:rPr>
                <w:rFonts w:ascii="Arial" w:cs="Arial" w:eastAsia="Arial" w:hAnsi="Arial"/>
                <w:sz w:val="18"/>
                <w:szCs w:val="18"/>
                <w:color w:val="auto"/>
                <w:w w:val="99"/>
              </w:rPr>
              <w:t>H. EUGENE LOCKHART</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2/28/2023</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2800" w:type="dxa"/>
            <w:vAlign w:val="bottom"/>
            <w:gridSpan w:val="4"/>
          </w:tcPr>
          <w:p>
            <w:pPr>
              <w:jc w:val="center"/>
              <w:ind w:right="840"/>
              <w:spacing w:after="0"/>
              <w:rPr>
                <w:sz w:val="20"/>
                <w:szCs w:val="20"/>
                <w:color w:val="auto"/>
              </w:rPr>
            </w:pPr>
            <w:r>
              <w:rPr>
                <w:rFonts w:ascii="Arial" w:cs="Arial" w:eastAsia="Arial" w:hAnsi="Arial"/>
                <w:sz w:val="18"/>
                <w:szCs w:val="18"/>
                <w:color w:val="auto"/>
              </w:rPr>
              <w:t>H. Eugene Lockhart</w:t>
            </w:r>
          </w:p>
        </w:tc>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4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color w:val="auto"/>
              </w:rPr>
              <w:t>/s/</w:t>
            </w:r>
          </w:p>
        </w:tc>
        <w:tc>
          <w:tcPr>
            <w:tcW w:w="2500" w:type="dxa"/>
            <w:vAlign w:val="bottom"/>
            <w:tcBorders>
              <w:bottom w:val="single" w:sz="8" w:color="auto"/>
            </w:tcBorders>
            <w:gridSpan w:val="3"/>
          </w:tcPr>
          <w:p>
            <w:pPr>
              <w:jc w:val="center"/>
              <w:ind w:right="740"/>
              <w:spacing w:after="0"/>
              <w:rPr>
                <w:sz w:val="20"/>
                <w:szCs w:val="20"/>
                <w:color w:val="auto"/>
              </w:rPr>
            </w:pPr>
            <w:r>
              <w:rPr>
                <w:rFonts w:ascii="Arial" w:cs="Arial" w:eastAsia="Arial" w:hAnsi="Arial"/>
                <w:sz w:val="18"/>
                <w:szCs w:val="18"/>
                <w:color w:val="auto"/>
              </w:rPr>
              <w:t>PETER K. MARKELL</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2/28/2023</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3"/>
          </w:tcPr>
          <w:p>
            <w:pPr>
              <w:jc w:val="center"/>
              <w:ind w:right="1140"/>
              <w:spacing w:after="0"/>
              <w:rPr>
                <w:sz w:val="20"/>
                <w:szCs w:val="20"/>
                <w:color w:val="auto"/>
              </w:rPr>
            </w:pPr>
            <w:r>
              <w:rPr>
                <w:rFonts w:ascii="Arial" w:cs="Arial" w:eastAsia="Arial" w:hAnsi="Arial"/>
                <w:sz w:val="18"/>
                <w:szCs w:val="18"/>
                <w:color w:val="auto"/>
                <w:w w:val="99"/>
              </w:rPr>
              <w:t>Peter K. Markell</w:t>
            </w:r>
          </w:p>
        </w:tc>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500" w:type="dxa"/>
            <w:vAlign w:val="bottom"/>
            <w:tcBorders>
              <w:bottom w:val="single" w:sz="8" w:color="auto"/>
            </w:tcBorders>
            <w:gridSpan w:val="3"/>
          </w:tcPr>
          <w:p>
            <w:pPr>
              <w:jc w:val="center"/>
              <w:ind w:right="800"/>
              <w:spacing w:after="0"/>
              <w:rPr>
                <w:sz w:val="20"/>
                <w:szCs w:val="20"/>
                <w:color w:val="auto"/>
              </w:rPr>
            </w:pPr>
            <w:r>
              <w:rPr>
                <w:rFonts w:ascii="Arial" w:cs="Arial" w:eastAsia="Arial" w:hAnsi="Arial"/>
                <w:sz w:val="18"/>
                <w:szCs w:val="18"/>
                <w:color w:val="auto"/>
                <w:w w:val="99"/>
              </w:rPr>
              <w:t>HUGH E. SAWYER</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2/28/2023</w:t>
            </w:r>
          </w:p>
        </w:tc>
        <w:tc>
          <w:tcPr>
            <w:tcW w:w="0" w:type="dxa"/>
            <w:vAlign w:val="bottom"/>
          </w:tcPr>
          <w:p>
            <w:pPr>
              <w:spacing w:after="0"/>
              <w:rPr>
                <w:sz w:val="1"/>
                <w:szCs w:val="1"/>
                <w:color w:val="auto"/>
              </w:rPr>
            </w:pPr>
          </w:p>
        </w:tc>
      </w:tr>
      <w:tr>
        <w:trPr>
          <w:trHeight w:val="236"/>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3"/>
          </w:tcPr>
          <w:p>
            <w:pPr>
              <w:jc w:val="center"/>
              <w:ind w:right="1120"/>
              <w:spacing w:after="0"/>
              <w:rPr>
                <w:sz w:val="20"/>
                <w:szCs w:val="20"/>
                <w:color w:val="auto"/>
              </w:rPr>
            </w:pPr>
            <w:r>
              <w:rPr>
                <w:rFonts w:ascii="Arial" w:cs="Arial" w:eastAsia="Arial" w:hAnsi="Arial"/>
                <w:sz w:val="18"/>
                <w:szCs w:val="18"/>
                <w:color w:val="auto"/>
                <w:w w:val="99"/>
              </w:rPr>
              <w:t>Hugh E. Sawyer</w:t>
            </w:r>
          </w:p>
        </w:tc>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83"/>
              </w:rPr>
              <w:t>/s/</w:t>
            </w:r>
          </w:p>
        </w:tc>
        <w:tc>
          <w:tcPr>
            <w:tcW w:w="28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9"/>
              </w:rPr>
              <w:t>EKTA SINGH-BUSHELL</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2/28/2023</w:t>
            </w:r>
          </w:p>
        </w:tc>
        <w:tc>
          <w:tcPr>
            <w:tcW w:w="0" w:type="dxa"/>
            <w:vAlign w:val="bottom"/>
          </w:tcPr>
          <w:p>
            <w:pPr>
              <w:spacing w:after="0"/>
              <w:rPr>
                <w:sz w:val="1"/>
                <w:szCs w:val="1"/>
                <w:color w:val="auto"/>
              </w:rPr>
            </w:pPr>
          </w:p>
        </w:tc>
      </w:tr>
      <w:tr>
        <w:trPr>
          <w:trHeight w:val="250"/>
        </w:trPr>
        <w:tc>
          <w:tcPr>
            <w:tcW w:w="840" w:type="dxa"/>
            <w:vAlign w:val="bottom"/>
          </w:tcPr>
          <w:p>
            <w:pPr>
              <w:spacing w:after="0"/>
              <w:rPr>
                <w:sz w:val="21"/>
                <w:szCs w:val="21"/>
                <w:color w:val="auto"/>
              </w:rPr>
            </w:pPr>
          </w:p>
        </w:tc>
        <w:tc>
          <w:tcPr>
            <w:tcW w:w="2800" w:type="dxa"/>
            <w:vAlign w:val="bottom"/>
            <w:gridSpan w:val="4"/>
          </w:tcPr>
          <w:p>
            <w:pPr>
              <w:jc w:val="center"/>
              <w:ind w:right="840"/>
              <w:spacing w:after="0"/>
              <w:rPr>
                <w:sz w:val="20"/>
                <w:szCs w:val="20"/>
                <w:color w:val="auto"/>
              </w:rPr>
            </w:pPr>
            <w:r>
              <w:rPr>
                <w:rFonts w:ascii="Arial" w:cs="Arial" w:eastAsia="Arial" w:hAnsi="Arial"/>
                <w:sz w:val="18"/>
                <w:szCs w:val="18"/>
                <w:color w:val="auto"/>
                <w:w w:val="99"/>
              </w:rPr>
              <w:t>Ekta Singh-Bushell</w:t>
            </w:r>
          </w:p>
        </w:tc>
        <w:tc>
          <w:tcPr>
            <w:tcW w:w="2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2500" w:type="dxa"/>
            <w:vAlign w:val="bottom"/>
            <w:tcBorders>
              <w:bottom w:val="single" w:sz="8" w:color="auto"/>
            </w:tcBorders>
            <w:gridSpan w:val="3"/>
          </w:tcPr>
          <w:p>
            <w:pPr>
              <w:jc w:val="center"/>
              <w:ind w:right="760"/>
              <w:spacing w:after="0"/>
              <w:rPr>
                <w:sz w:val="20"/>
                <w:szCs w:val="20"/>
                <w:color w:val="auto"/>
              </w:rPr>
            </w:pPr>
            <w:r>
              <w:rPr>
                <w:rFonts w:ascii="Arial" w:cs="Arial" w:eastAsia="Arial" w:hAnsi="Arial"/>
                <w:sz w:val="18"/>
                <w:szCs w:val="18"/>
                <w:color w:val="auto"/>
                <w:w w:val="98"/>
              </w:rPr>
              <w:t>DEBRA ZUMWALT</w:t>
            </w:r>
          </w:p>
        </w:tc>
        <w:tc>
          <w:tcPr>
            <w:tcW w:w="57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color w:val="auto"/>
                <w:w w:val="99"/>
              </w:rPr>
              <w:t>2/28/2023</w:t>
            </w: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gridSpan w:val="3"/>
          </w:tcPr>
          <w:p>
            <w:pPr>
              <w:jc w:val="center"/>
              <w:ind w:right="1120"/>
              <w:spacing w:after="0"/>
              <w:rPr>
                <w:sz w:val="20"/>
                <w:szCs w:val="20"/>
                <w:color w:val="auto"/>
              </w:rPr>
            </w:pPr>
            <w:r>
              <w:rPr>
                <w:rFonts w:ascii="Arial" w:cs="Arial" w:eastAsia="Arial" w:hAnsi="Arial"/>
                <w:sz w:val="18"/>
                <w:szCs w:val="18"/>
                <w:color w:val="auto"/>
                <w:w w:val="99"/>
              </w:rPr>
              <w:t>Debra Zumwalt</w:t>
            </w:r>
          </w:p>
        </w:tc>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HURON CONSULTING GROUP INC.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109220</wp:posOffset>
            </wp:positionV>
            <wp:extent cx="36175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4">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INDEX</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40" w:type="dxa"/>
            <w:vAlign w:val="bottom"/>
          </w:tcPr>
          <w:p>
            <w:pPr>
              <w:spacing w:after="0"/>
              <w:rPr>
                <w:sz w:val="17"/>
                <w:szCs w:val="17"/>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Page</w:t>
            </w:r>
          </w:p>
        </w:tc>
      </w:tr>
      <w:tr>
        <w:trPr>
          <w:trHeight w:val="250"/>
        </w:trPr>
        <w:tc>
          <w:tcPr>
            <w:tcW w:w="10540" w:type="dxa"/>
            <w:vAlign w:val="bottom"/>
          </w:tcPr>
          <w:p>
            <w:pPr>
              <w:ind w:left="20"/>
              <w:spacing w:after="0"/>
              <w:rPr>
                <w:sz w:val="20"/>
                <w:szCs w:val="20"/>
                <w:color w:val="auto"/>
              </w:rPr>
            </w:pPr>
            <w:r>
              <w:rPr>
                <w:rFonts w:ascii="Arial" w:cs="Arial" w:eastAsia="Arial" w:hAnsi="Arial"/>
                <w:sz w:val="18"/>
                <w:szCs w:val="18"/>
                <w:color w:val="auto"/>
              </w:rPr>
              <w:t>Report of Independent Registered Public Accounting Firm (PCAOB ID 238)</w:t>
            </w:r>
          </w:p>
        </w:tc>
        <w:tc>
          <w:tcPr>
            <w:tcW w:w="240" w:type="dxa"/>
            <w:vAlign w:val="bottom"/>
          </w:tcPr>
          <w:p>
            <w:pPr>
              <w:spacing w:after="0"/>
              <w:rPr>
                <w:sz w:val="21"/>
                <w:szCs w:val="21"/>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F-2</w:t>
            </w:r>
          </w:p>
        </w:tc>
        <w:tc>
          <w:tcPr>
            <w:tcW w:w="40" w:type="dxa"/>
            <w:vAlign w:val="bottom"/>
          </w:tcPr>
          <w:p>
            <w:pPr>
              <w:spacing w:after="0"/>
              <w:rPr>
                <w:sz w:val="21"/>
                <w:szCs w:val="21"/>
                <w:color w:val="auto"/>
              </w:rPr>
            </w:pPr>
          </w:p>
        </w:tc>
      </w:tr>
      <w:tr>
        <w:trPr>
          <w:trHeight w:val="229"/>
        </w:trPr>
        <w:tc>
          <w:tcPr>
            <w:tcW w:w="10540" w:type="dxa"/>
            <w:vAlign w:val="bottom"/>
          </w:tcPr>
          <w:p>
            <w:pPr>
              <w:ind w:left="20"/>
              <w:spacing w:after="0"/>
              <w:rPr>
                <w:sz w:val="20"/>
                <w:szCs w:val="20"/>
                <w:color w:val="auto"/>
              </w:rPr>
            </w:pPr>
            <w:r>
              <w:rPr>
                <w:rFonts w:ascii="Arial" w:cs="Arial" w:eastAsia="Arial" w:hAnsi="Arial"/>
                <w:sz w:val="18"/>
                <w:szCs w:val="18"/>
                <w:color w:val="auto"/>
              </w:rPr>
              <w:t>Consolidated Balance Sheets at December 31, 2022 and 2021</w:t>
            </w:r>
          </w:p>
        </w:tc>
        <w:tc>
          <w:tcPr>
            <w:tcW w:w="24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F-4</w:t>
            </w:r>
          </w:p>
        </w:tc>
      </w:tr>
      <w:tr>
        <w:trPr>
          <w:trHeight w:val="188"/>
        </w:trPr>
        <w:tc>
          <w:tcPr>
            <w:tcW w:w="10540" w:type="dxa"/>
            <w:vAlign w:val="bottom"/>
          </w:tcPr>
          <w:p>
            <w:pPr>
              <w:ind w:left="20"/>
              <w:spacing w:after="0" w:line="189" w:lineRule="exact"/>
              <w:rPr>
                <w:sz w:val="20"/>
                <w:szCs w:val="20"/>
                <w:color w:val="auto"/>
              </w:rPr>
            </w:pPr>
            <w:r>
              <w:rPr>
                <w:rFonts w:ascii="Arial" w:cs="Arial" w:eastAsia="Arial" w:hAnsi="Arial"/>
                <w:sz w:val="18"/>
                <w:szCs w:val="18"/>
                <w:color w:val="auto"/>
              </w:rPr>
              <w:t>Consolidated Statements of Operations and Other Comprehensive Income (Loss) for the years ended December 31, 2022, 2021,</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0540" w:type="dxa"/>
            <w:vAlign w:val="bottom"/>
          </w:tcPr>
          <w:p>
            <w:pPr>
              <w:ind w:left="20"/>
              <w:spacing w:after="0"/>
              <w:rPr>
                <w:sz w:val="20"/>
                <w:szCs w:val="20"/>
                <w:color w:val="auto"/>
              </w:rPr>
            </w:pPr>
            <w:r>
              <w:rPr>
                <w:rFonts w:ascii="Arial" w:cs="Arial" w:eastAsia="Arial" w:hAnsi="Arial"/>
                <w:sz w:val="18"/>
                <w:szCs w:val="18"/>
                <w:color w:val="auto"/>
              </w:rPr>
              <w:t>and 2020</w:t>
            </w:r>
          </w:p>
        </w:tc>
        <w:tc>
          <w:tcPr>
            <w:tcW w:w="240" w:type="dxa"/>
            <w:vAlign w:val="bottom"/>
          </w:tcPr>
          <w:p>
            <w:pPr>
              <w:spacing w:after="0"/>
              <w:rPr>
                <w:sz w:val="20"/>
                <w:szCs w:val="2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F-5</w:t>
            </w:r>
          </w:p>
        </w:tc>
      </w:tr>
      <w:tr>
        <w:trPr>
          <w:trHeight w:val="230"/>
        </w:trPr>
        <w:tc>
          <w:tcPr>
            <w:tcW w:w="10540" w:type="dxa"/>
            <w:vAlign w:val="bottom"/>
          </w:tcPr>
          <w:p>
            <w:pPr>
              <w:ind w:left="20"/>
              <w:spacing w:after="0"/>
              <w:rPr>
                <w:sz w:val="20"/>
                <w:szCs w:val="20"/>
                <w:color w:val="auto"/>
              </w:rPr>
            </w:pPr>
            <w:r>
              <w:rPr>
                <w:rFonts w:ascii="Arial" w:cs="Arial" w:eastAsia="Arial" w:hAnsi="Arial"/>
                <w:sz w:val="18"/>
                <w:szCs w:val="18"/>
                <w:color w:val="auto"/>
              </w:rPr>
              <w:t>Consolidated Statements of Stockholders’ Equity for the years ended December 31, 2022, 2021, and 2020</w:t>
            </w:r>
          </w:p>
        </w:tc>
        <w:tc>
          <w:tcPr>
            <w:tcW w:w="24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F-6</w:t>
            </w:r>
          </w:p>
        </w:tc>
      </w:tr>
      <w:tr>
        <w:trPr>
          <w:trHeight w:val="229"/>
        </w:trPr>
        <w:tc>
          <w:tcPr>
            <w:tcW w:w="10540" w:type="dxa"/>
            <w:vAlign w:val="bottom"/>
          </w:tcPr>
          <w:p>
            <w:pPr>
              <w:ind w:left="20"/>
              <w:spacing w:after="0"/>
              <w:rPr>
                <w:sz w:val="20"/>
                <w:szCs w:val="20"/>
                <w:color w:val="auto"/>
              </w:rPr>
            </w:pPr>
            <w:r>
              <w:rPr>
                <w:rFonts w:ascii="Arial" w:cs="Arial" w:eastAsia="Arial" w:hAnsi="Arial"/>
                <w:sz w:val="18"/>
                <w:szCs w:val="18"/>
                <w:color w:val="auto"/>
              </w:rPr>
              <w:t>Consolidated Statements of Cash Flows for the years ended December 31, 2022, 2021, and 2020</w:t>
            </w:r>
          </w:p>
        </w:tc>
        <w:tc>
          <w:tcPr>
            <w:tcW w:w="24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F-7</w:t>
            </w:r>
          </w:p>
        </w:tc>
      </w:tr>
      <w:tr>
        <w:trPr>
          <w:trHeight w:val="229"/>
        </w:trPr>
        <w:tc>
          <w:tcPr>
            <w:tcW w:w="10540" w:type="dxa"/>
            <w:vAlign w:val="bottom"/>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24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F-8</w:t>
            </w:r>
          </w:p>
        </w:tc>
      </w:tr>
      <w:tr>
        <w:trPr>
          <w:trHeight w:val="851"/>
        </w:trPr>
        <w:tc>
          <w:tcPr>
            <w:tcW w:w="10540" w:type="dxa"/>
            <w:vAlign w:val="bottom"/>
          </w:tcPr>
          <w:p>
            <w:pPr>
              <w:ind w:left="5480"/>
              <w:spacing w:after="0"/>
              <w:rPr>
                <w:sz w:val="20"/>
                <w:szCs w:val="20"/>
                <w:color w:val="auto"/>
              </w:rPr>
            </w:pPr>
            <w:r>
              <w:rPr>
                <w:rFonts w:ascii="Arial" w:cs="Arial" w:eastAsia="Arial" w:hAnsi="Arial"/>
                <w:sz w:val="18"/>
                <w:szCs w:val="18"/>
                <w:color w:val="auto"/>
              </w:rPr>
              <w:t>F-1</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0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Huron Consulting Group Inc.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Huron Consulting Group Inc. and its subsidiaries (the “Company”) as of December 31, 2022 and 2021, and the related consolidated statements of operations and other comprehensive income (loss), of stockholders’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5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Fixed-Fee and Healthcare Performance-Based Billing Arrangements</w:t>
      </w:r>
    </w:p>
    <w:p>
      <w:pPr>
        <w:spacing w:after="0" w:line="18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described in Note 2 to the consolidated financial statements, in fixed-fee billing arrangements, which makes up a portion of total revenues of $1.13 billion for the year ended December 31, 2022, the Company agrees to a pre-established fee in exchange for a predetermined set of professional services. As disclosed by management, under fixed-fee arrangements, revenues are recognized based upon work completed to date versus management’s estimates of the total services to be provided under the engagement. Additionally, the Company’s Healthcare practice enters into performance-based billing arrangements whereby fees are tied to the attainment of contractually defined objectives, as a result of adopting the Company’s recommendations, which makes up a portion of total revenues of $1.13 billion for the year ended December 31, 2022. Under performance -based billing arrangements, revenue is recognized based on an estimate of variable consideration and work completed to date versus the estimates of the total services to be provided under the engagement. Variable consideration is estimated based on a probability-weighted assessment of the fees to be earned, net of a constraint to limit the amount that could be reversed when the uncertainty is resolved.</w:t>
      </w:r>
    </w:p>
    <w:p>
      <w:pPr>
        <w:spacing w:after="0" w:line="15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under fixed-fee and Healthcare performance-based billing arrangements is a critical audit matter are the significant judgments by management when developing the estimates of revenue to be recognized for these billing arrangements, which in turn led to a high degree of auditor judgment, subjectivity and effort in performing procedures and evaluating audit evidence related to management’s significant assumptions related to work completed to date versus management’s estimates of the total services to be provided for fixed-fee and performance-based billing arrangements and the probability of attaining contractually defined objectives in performance-based billing arrangements.</w:t>
      </w:r>
    </w:p>
    <w:p>
      <w:pPr>
        <w:spacing w:after="0" w:line="15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under fixed-fee and performance-based billing arrangements. These procedures also included, among others, testing the accuracy of the total contract amounts and evaluating the reasonableness of management’s assumption of work completed to-date versus management’s estimates of the total services to be provided by (i) inquiring with the Company’s employees regarding the expected remaining efforts for a sample of engagements, (ii) evaluating trends in past performance, and (iii) evaluating performance to date. Additionally, for performance-based billing arrangements, procedures included, among others (i) evaluating the reasonableness of management’s assumption of the probability of attaining the contractually defined objectives by inquiring with the Company’s employees regarding the expected remaining efforts and the probability weighting of variable consideration to be earned for a sample of engagements and by evaluating trends in past performance, (ii) evaluating the necessity of applying a constraint based upon consideration of the initial forecasts developed during project procurement, and (iii) evaluating performance to date towards the attainment of contractually defined objectives.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8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19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20,781</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Receivables from clients, net of allowances of $10,600 and $8,827, respectively</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147,852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122,316</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Unbilled services, net of allowances of $3,850 and $2,637, respectively</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91,285</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Income tax receivable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8,071</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15,229</w:t>
            </w:r>
          </w:p>
        </w:tc>
      </w:tr>
      <w:tr>
        <w:trPr>
          <w:trHeight w:val="206"/>
        </w:trPr>
        <w:tc>
          <w:tcPr>
            <w:tcW w:w="8220" w:type="dxa"/>
            <w:vAlign w:val="bottom"/>
          </w:tcPr>
          <w:p>
            <w:pPr>
              <w:ind w:left="80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328,484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257,682</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31,004</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Deferred income taxes,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1,804</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72,584</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30,304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35,311</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68,191</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23,392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31,894</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624,966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620,879</w:t>
            </w:r>
          </w:p>
        </w:tc>
      </w:tr>
      <w:tr>
        <w:trPr>
          <w:trHeight w:val="207"/>
        </w:trPr>
        <w:tc>
          <w:tcPr>
            <w:tcW w:w="82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1,199,040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1,119,349</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13,621</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27,268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22,519</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payroll and related benefits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139,131</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Current maturities of long-term debt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559</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maturities of operating lease liabilities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10,142</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Deferred revenues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21,909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19,212</w:t>
            </w:r>
          </w:p>
        </w:tc>
      </w:tr>
      <w:tr>
        <w:trPr>
          <w:trHeight w:val="213"/>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245,684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205,184</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compensation and other liabilities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43,458</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232,221</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 net of current portion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54,313</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Deferred income taxes, net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32,146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12,273</w:t>
            </w:r>
          </w:p>
        </w:tc>
      </w:tr>
      <w:tr>
        <w:trPr>
          <w:trHeight w:val="213"/>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non-current liabilities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401,316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342,265</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177"/>
        </w:trPr>
        <w:tc>
          <w:tcPr>
            <w:tcW w:w="8220" w:type="dxa"/>
            <w:vAlign w:val="bottom"/>
          </w:tcPr>
          <w:p>
            <w:pPr>
              <w:ind w:left="20"/>
              <w:spacing w:after="0" w:line="178" w:lineRule="exact"/>
              <w:rPr>
                <w:sz w:val="20"/>
                <w:szCs w:val="20"/>
                <w:color w:val="auto"/>
              </w:rPr>
            </w:pPr>
            <w:r>
              <w:rPr>
                <w:rFonts w:ascii="Arial" w:cs="Arial" w:eastAsia="Arial" w:hAnsi="Arial"/>
                <w:sz w:val="16"/>
                <w:szCs w:val="16"/>
                <w:color w:val="auto"/>
              </w:rPr>
              <w:t>Common stock; $0.01 par value; 500,000,000 shares authorized; 22,507,159 and 24,364,814 shares issued,</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8"/>
        </w:trPr>
        <w:tc>
          <w:tcPr>
            <w:tcW w:w="8220" w:type="dxa"/>
            <w:vAlign w:val="bottom"/>
          </w:tcPr>
          <w:p>
            <w:pPr>
              <w:ind w:left="20"/>
              <w:spacing w:after="0"/>
              <w:rPr>
                <w:sz w:val="20"/>
                <w:szCs w:val="20"/>
                <w:color w:val="auto"/>
              </w:rPr>
            </w:pPr>
            <w:r>
              <w:rPr>
                <w:rFonts w:ascii="Arial" w:cs="Arial" w:eastAsia="Arial" w:hAnsi="Arial"/>
                <w:sz w:val="16"/>
                <w:szCs w:val="16"/>
                <w:color w:val="auto"/>
              </w:rPr>
              <w:t>respectively</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at cost, 2,711,712 and 2,495,172 shares, respectively</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(135,969)</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318,706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413,794</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352,548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276,996</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other comprehensive income</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16,840</w:t>
            </w:r>
          </w:p>
        </w:tc>
      </w:tr>
      <w:tr>
        <w:trPr>
          <w:trHeight w:val="213"/>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552,040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571,900</w:t>
            </w:r>
          </w:p>
        </w:tc>
      </w:tr>
      <w:tr>
        <w:trPr>
          <w:trHeight w:val="206"/>
        </w:trPr>
        <w:tc>
          <w:tcPr>
            <w:tcW w:w="822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1,199,040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1,119,349</w:t>
            </w:r>
          </w:p>
        </w:tc>
      </w:tr>
      <w:tr>
        <w:trPr>
          <w:trHeight w:val="24"/>
        </w:trPr>
        <w:tc>
          <w:tcPr>
            <w:tcW w:w="8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2"/>
        </w:trPr>
        <w:tc>
          <w:tcPr>
            <w:tcW w:w="66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19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 and reimbursable expenses: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1,132,455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905,640</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844,127</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Reimbursable expenses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26,506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26,887</w:t>
            </w:r>
          </w:p>
        </w:tc>
      </w:tr>
      <w:tr>
        <w:trPr>
          <w:trHeight w:val="207"/>
        </w:trPr>
        <w:tc>
          <w:tcPr>
            <w:tcW w:w="6660" w:type="dxa"/>
            <w:vAlign w:val="bottom"/>
          </w:tcPr>
          <w:p>
            <w:pPr>
              <w:ind w:left="360"/>
              <w:spacing w:after="0"/>
              <w:rPr>
                <w:sz w:val="20"/>
                <w:szCs w:val="20"/>
                <w:color w:val="auto"/>
              </w:rPr>
            </w:pPr>
            <w:r>
              <w:rPr>
                <w:rFonts w:ascii="Arial" w:cs="Arial" w:eastAsia="Arial" w:hAnsi="Arial"/>
                <w:sz w:val="16"/>
                <w:szCs w:val="16"/>
                <w:color w:val="auto"/>
              </w:rPr>
              <w:t>Total revenues and reimbursable expenses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1,158,961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926,958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871,014</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Direct costs (exclusive of depreciation and amortization included below)</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785,881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636,776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592,428</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Reimbursable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26,918</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209,381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178,084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170,536</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20,525</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27,359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25,489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29,643</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impairment charges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59,816</w:t>
            </w:r>
          </w:p>
        </w:tc>
      </w:tr>
      <w:tr>
        <w:trPr>
          <w:trHeight w:val="207"/>
        </w:trPr>
        <w:tc>
          <w:tcPr>
            <w:tcW w:w="66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1,059,201</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874,119</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899,866</w:t>
            </w:r>
          </w:p>
        </w:tc>
      </w:tr>
      <w:tr>
        <w:trPr>
          <w:trHeight w:val="21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(28,852)</w:t>
            </w:r>
          </w:p>
        </w:tc>
      </w:tr>
      <w:tr>
        <w:trPr>
          <w:trHeight w:val="215"/>
        </w:trPr>
        <w:tc>
          <w:tcPr>
            <w:tcW w:w="666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 net:</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 of interest income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(9,292)</w:t>
            </w:r>
          </w:p>
        </w:tc>
      </w:tr>
      <w:tr>
        <w:trPr>
          <w:trHeight w:val="21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20,700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35,347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4,271</w:t>
            </w:r>
          </w:p>
        </w:tc>
      </w:tr>
      <w:tr>
        <w:trPr>
          <w:trHeight w:val="212"/>
        </w:trPr>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 income (expense), net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(5,021)</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Income (loss) from continuing operations before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108,577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80,036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(33,873)</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(10,155)</w:t>
            </w:r>
          </w:p>
        </w:tc>
      </w:tr>
      <w:tr>
        <w:trPr>
          <w:trHeight w:val="206"/>
        </w:trPr>
        <w:tc>
          <w:tcPr>
            <w:tcW w:w="6660" w:type="dxa"/>
            <w:vAlign w:val="bottom"/>
          </w:tcPr>
          <w:p>
            <w:pPr>
              <w:ind w:left="20"/>
              <w:spacing w:after="0"/>
              <w:rPr>
                <w:sz w:val="20"/>
                <w:szCs w:val="20"/>
                <w:color w:val="auto"/>
              </w:rPr>
            </w:pPr>
            <w:r>
              <w:rPr>
                <w:rFonts w:ascii="Arial" w:cs="Arial" w:eastAsia="Arial" w:hAnsi="Arial"/>
                <w:sz w:val="16"/>
                <w:szCs w:val="16"/>
                <w:color w:val="auto"/>
              </w:rPr>
              <w:t>Net income (loss) from continuing operations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75,552</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62,987</w:t>
            </w:r>
          </w:p>
        </w:tc>
        <w:tc>
          <w:tcPr>
            <w:tcW w:w="10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(23,718)</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discontinued operations, net of tax</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06"/>
        </w:trPr>
        <w:tc>
          <w:tcPr>
            <w:tcW w:w="66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75,552</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62,987</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(23,840)</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6"/>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Net income (loss) per basic share: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 (loss) from continuing operations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3"/>
        </w:trPr>
        <w:tc>
          <w:tcPr>
            <w:tcW w:w="6660" w:type="dxa"/>
            <w:vAlign w:val="bottom"/>
          </w:tcPr>
          <w:p>
            <w:pPr>
              <w:ind w:left="360"/>
              <w:spacing w:after="0"/>
              <w:rPr>
                <w:sz w:val="20"/>
                <w:szCs w:val="20"/>
                <w:color w:val="auto"/>
              </w:rPr>
            </w:pPr>
            <w:r>
              <w:rPr>
                <w:rFonts w:ascii="Arial" w:cs="Arial" w:eastAsia="Arial" w:hAnsi="Arial"/>
                <w:sz w:val="16"/>
                <w:szCs w:val="16"/>
                <w:color w:val="auto"/>
              </w:rPr>
              <w:t>Loss from discontinued operations, net of tax</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3"/>
        </w:trPr>
        <w:tc>
          <w:tcPr>
            <w:tcW w:w="66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income (loss)</w:t>
            </w: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193"/>
        </w:trPr>
        <w:tc>
          <w:tcPr>
            <w:tcW w:w="6660" w:type="dxa"/>
            <w:vAlign w:val="bottom"/>
          </w:tcPr>
          <w:p>
            <w:pPr>
              <w:ind w:left="20"/>
              <w:spacing w:after="0"/>
              <w:rPr>
                <w:sz w:val="20"/>
                <w:szCs w:val="20"/>
                <w:color w:val="auto"/>
              </w:rPr>
            </w:pPr>
            <w:r>
              <w:rPr>
                <w:rFonts w:ascii="Arial" w:cs="Arial" w:eastAsia="Arial" w:hAnsi="Arial"/>
                <w:sz w:val="16"/>
                <w:szCs w:val="16"/>
                <w:color w:val="auto"/>
              </w:rPr>
              <w:t>Net earnings (loss) per diluted share:</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 (loss) from continuing operations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3"/>
        </w:trPr>
        <w:tc>
          <w:tcPr>
            <w:tcW w:w="6660" w:type="dxa"/>
            <w:vAlign w:val="bottom"/>
          </w:tcPr>
          <w:p>
            <w:pPr>
              <w:ind w:left="360"/>
              <w:spacing w:after="0"/>
              <w:rPr>
                <w:sz w:val="20"/>
                <w:szCs w:val="20"/>
                <w:color w:val="auto"/>
              </w:rPr>
            </w:pPr>
            <w:r>
              <w:rPr>
                <w:rFonts w:ascii="Arial" w:cs="Arial" w:eastAsia="Arial" w:hAnsi="Arial"/>
                <w:sz w:val="16"/>
                <w:szCs w:val="16"/>
                <w:color w:val="auto"/>
              </w:rPr>
              <w:t>Loss from discontinued operations, net of tax</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3"/>
        </w:trPr>
        <w:tc>
          <w:tcPr>
            <w:tcW w:w="66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income (loss)</w:t>
            </w: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193"/>
        </w:trPr>
        <w:tc>
          <w:tcPr>
            <w:tcW w:w="6660" w:type="dxa"/>
            <w:vAlign w:val="bottom"/>
          </w:tcPr>
          <w:p>
            <w:pPr>
              <w:ind w:left="20"/>
              <w:spacing w:after="0"/>
              <w:rPr>
                <w:sz w:val="20"/>
                <w:szCs w:val="20"/>
                <w:color w:val="auto"/>
              </w:rPr>
            </w:pPr>
            <w:r>
              <w:rPr>
                <w:rFonts w:ascii="Arial" w:cs="Arial" w:eastAsia="Arial" w:hAnsi="Arial"/>
                <w:sz w:val="16"/>
                <w:szCs w:val="16"/>
                <w:color w:val="auto"/>
              </w:rPr>
              <w:t>Weighted average shares used in calculating earnings per share:</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6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21,882</w:t>
            </w:r>
          </w:p>
        </w:tc>
      </w:tr>
      <w:tr>
        <w:trPr>
          <w:trHeight w:val="213"/>
        </w:trPr>
        <w:tc>
          <w:tcPr>
            <w:tcW w:w="6660" w:type="dxa"/>
            <w:vAlign w:val="bottom"/>
          </w:tcPr>
          <w:p>
            <w:pPr>
              <w:ind w:left="360"/>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20,746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21,809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21,882</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75,552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62,987</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(23,840)</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 net of tax</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Unrealized gain (loss) on investment, net of tax</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1,323</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 (loss) on cash flow hedging instruments,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(3,546)</w:t>
            </w:r>
          </w:p>
        </w:tc>
      </w:tr>
      <w:tr>
        <w:trPr>
          <w:trHeight w:val="20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(1,875)</w:t>
            </w:r>
          </w:p>
        </w:tc>
      </w:tr>
      <w:tr>
        <w:trPr>
          <w:trHeight w:val="235"/>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76,831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66,766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(25,715)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color w:val="auto"/>
              </w:rPr>
              <w:t>Accumulated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80" w:type="dxa"/>
            <w:vAlign w:val="bottom"/>
            <w:gridSpan w:val="3"/>
            <w:vMerge w:val="restart"/>
          </w:tcPr>
          <w:p>
            <w:pPr>
              <w:jc w:val="right"/>
              <w:spacing w:after="0"/>
              <w:rPr>
                <w:sz w:val="20"/>
                <w:szCs w:val="20"/>
                <w:color w:val="auto"/>
              </w:rPr>
            </w:pPr>
            <w:r>
              <w:rPr>
                <w:rFonts w:ascii="Arial" w:cs="Arial" w:eastAsia="Arial" w:hAnsi="Arial"/>
                <w:sz w:val="16"/>
                <w:szCs w:val="16"/>
                <w:color w:val="auto"/>
              </w:rPr>
              <w:t>Common Stock</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vMerge w:val="restart"/>
          </w:tcPr>
          <w:p>
            <w:pPr>
              <w:ind w:left="440"/>
              <w:spacing w:after="0"/>
              <w:rPr>
                <w:sz w:val="20"/>
                <w:szCs w:val="20"/>
                <w:color w:val="auto"/>
              </w:rPr>
            </w:pPr>
            <w:r>
              <w:rPr>
                <w:rFonts w:ascii="Arial" w:cs="Arial" w:eastAsia="Arial" w:hAnsi="Arial"/>
                <w:sz w:val="16"/>
                <w:szCs w:val="16"/>
                <w:color w:val="auto"/>
              </w:rPr>
              <w:t>Treasury Stock</w:t>
            </w:r>
          </w:p>
        </w:tc>
        <w:tc>
          <w:tcPr>
            <w:tcW w:w="1000" w:type="dxa"/>
            <w:vAlign w:val="bottom"/>
            <w:gridSpan w:val="3"/>
          </w:tcPr>
          <w:p>
            <w:pPr>
              <w:jc w:val="center"/>
              <w:ind w:right="120"/>
              <w:spacing w:after="0" w:line="162" w:lineRule="exact"/>
              <w:rPr>
                <w:sz w:val="20"/>
                <w:szCs w:val="20"/>
                <w:color w:val="auto"/>
              </w:rPr>
            </w:pPr>
            <w:r>
              <w:rPr>
                <w:rFonts w:ascii="Arial" w:cs="Arial" w:eastAsia="Arial" w:hAnsi="Arial"/>
                <w:sz w:val="16"/>
                <w:szCs w:val="16"/>
                <w:color w:val="auto"/>
              </w:rPr>
              <w:t>Additional</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99"/>
              </w:rPr>
              <w:t>Other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660" w:type="dxa"/>
            <w:vAlign w:val="bottom"/>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color w:val="auto"/>
              </w:rPr>
              <w:t>Paid-In</w:t>
            </w:r>
          </w:p>
        </w:tc>
        <w:tc>
          <w:tcPr>
            <w:tcW w:w="120" w:type="dxa"/>
            <w:vAlign w:val="bottom"/>
          </w:tcPr>
          <w:p>
            <w:pPr>
              <w:spacing w:after="0"/>
              <w:rPr>
                <w:sz w:val="7"/>
                <w:szCs w:val="7"/>
                <w:color w:val="auto"/>
              </w:rPr>
            </w:pPr>
          </w:p>
        </w:tc>
        <w:tc>
          <w:tcPr>
            <w:tcW w:w="900" w:type="dxa"/>
            <w:vAlign w:val="bottom"/>
            <w:gridSpan w:val="2"/>
            <w:vMerge w:val="restart"/>
          </w:tcPr>
          <w:p>
            <w:pPr>
              <w:ind w:left="20"/>
              <w:spacing w:after="0" w:line="162" w:lineRule="exact"/>
              <w:rPr>
                <w:sz w:val="20"/>
                <w:szCs w:val="20"/>
                <w:color w:val="auto"/>
              </w:rPr>
            </w:pPr>
            <w:r>
              <w:rPr>
                <w:rFonts w:ascii="Arial" w:cs="Arial" w:eastAsia="Arial" w:hAnsi="Arial"/>
                <w:sz w:val="16"/>
                <w:szCs w:val="16"/>
                <w:color w:val="auto"/>
              </w:rPr>
              <w:t>Retained</w:t>
            </w:r>
          </w:p>
        </w:tc>
        <w:tc>
          <w:tcPr>
            <w:tcW w:w="1380" w:type="dxa"/>
            <w:vAlign w:val="bottom"/>
            <w:gridSpan w:val="3"/>
            <w:vMerge w:val="restart"/>
          </w:tcPr>
          <w:p>
            <w:pPr>
              <w:jc w:val="center"/>
              <w:ind w:right="120"/>
              <w:spacing w:after="0" w:line="162" w:lineRule="exact"/>
              <w:rPr>
                <w:sz w:val="20"/>
                <w:szCs w:val="20"/>
                <w:color w:val="auto"/>
              </w:rPr>
            </w:pPr>
            <w:r>
              <w:rPr>
                <w:rFonts w:ascii="Arial" w:cs="Arial" w:eastAsia="Arial" w:hAnsi="Arial"/>
                <w:sz w:val="16"/>
                <w:szCs w:val="16"/>
                <w:color w:val="auto"/>
              </w:rPr>
              <w:t>Comprehensive</w:t>
            </w:r>
          </w:p>
        </w:tc>
        <w:tc>
          <w:tcPr>
            <w:tcW w:w="1140" w:type="dxa"/>
            <w:vAlign w:val="bottom"/>
            <w:gridSpan w:val="2"/>
            <w:vMerge w:val="restart"/>
          </w:tcPr>
          <w:p>
            <w:pPr>
              <w:jc w:val="right"/>
              <w:ind w:right="19"/>
              <w:spacing w:after="0" w:line="162" w:lineRule="exact"/>
              <w:rPr>
                <w:sz w:val="20"/>
                <w:szCs w:val="20"/>
                <w:color w:val="auto"/>
              </w:rPr>
            </w:pPr>
            <w:r>
              <w:rPr>
                <w:rFonts w:ascii="Arial" w:cs="Arial" w:eastAsia="Arial" w:hAnsi="Arial"/>
                <w:sz w:val="16"/>
                <w:szCs w:val="16"/>
                <w:color w:val="auto"/>
              </w:rPr>
              <w:t>Stockholders'</w:t>
            </w:r>
          </w:p>
        </w:tc>
        <w:tc>
          <w:tcPr>
            <w:tcW w:w="0" w:type="dxa"/>
            <w:vAlign w:val="bottom"/>
          </w:tcPr>
          <w:p>
            <w:pPr>
              <w:spacing w:after="0"/>
              <w:rPr>
                <w:sz w:val="1"/>
                <w:szCs w:val="1"/>
                <w:color w:val="auto"/>
              </w:rPr>
            </w:pPr>
          </w:p>
        </w:tc>
      </w:tr>
      <w:tr>
        <w:trPr>
          <w:trHeight w:val="52"/>
        </w:trPr>
        <w:tc>
          <w:tcPr>
            <w:tcW w:w="266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66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Arial" w:cs="Arial" w:eastAsia="Arial" w:hAnsi="Arial"/>
                <w:sz w:val="16"/>
                <w:szCs w:val="16"/>
                <w:color w:val="auto"/>
              </w:rPr>
              <w:t>Shares</w:t>
            </w:r>
          </w:p>
        </w:tc>
        <w:tc>
          <w:tcPr>
            <w:tcW w:w="860" w:type="dxa"/>
            <w:vAlign w:val="bottom"/>
            <w:gridSpan w:val="3"/>
          </w:tcPr>
          <w:p>
            <w:pPr>
              <w:ind w:left="100"/>
              <w:spacing w:after="0"/>
              <w:rPr>
                <w:sz w:val="20"/>
                <w:szCs w:val="20"/>
                <w:color w:val="auto"/>
              </w:rPr>
            </w:pPr>
            <w:r>
              <w:rPr>
                <w:rFonts w:ascii="Arial" w:cs="Arial" w:eastAsia="Arial" w:hAnsi="Arial"/>
                <w:sz w:val="16"/>
                <w:szCs w:val="16"/>
                <w:color w:val="auto"/>
              </w:rPr>
              <w:t>Amount</w:t>
            </w:r>
          </w:p>
        </w:tc>
        <w:tc>
          <w:tcPr>
            <w:tcW w:w="1040" w:type="dxa"/>
            <w:vAlign w:val="bottom"/>
            <w:gridSpan w:val="2"/>
          </w:tcPr>
          <w:p>
            <w:pPr>
              <w:ind w:left="200"/>
              <w:spacing w:after="0"/>
              <w:rPr>
                <w:sz w:val="20"/>
                <w:szCs w:val="20"/>
                <w:color w:val="auto"/>
              </w:rPr>
            </w:pPr>
            <w:r>
              <w:rPr>
                <w:rFonts w:ascii="Arial" w:cs="Arial" w:eastAsia="Arial" w:hAnsi="Arial"/>
                <w:sz w:val="16"/>
                <w:szCs w:val="16"/>
                <w:color w:val="auto"/>
              </w:rPr>
              <w:t>Shares</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color w:val="auto"/>
              </w:rPr>
              <w:t>Amount</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color w:val="auto"/>
              </w:rPr>
              <w:t>Capital</w:t>
            </w:r>
          </w:p>
        </w:tc>
        <w:tc>
          <w:tcPr>
            <w:tcW w:w="12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color w:val="auto"/>
              </w:rPr>
              <w:t>Earnings</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Income</w:t>
            </w:r>
          </w:p>
        </w:tc>
        <w:tc>
          <w:tcPr>
            <w:tcW w:w="240" w:type="dxa"/>
            <w:vAlign w:val="bottom"/>
          </w:tcPr>
          <w:p>
            <w:pPr>
              <w:spacing w:after="0"/>
              <w:rPr>
                <w:sz w:val="17"/>
                <w:szCs w:val="17"/>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21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24,603,308</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(2,763,302)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(128,348)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460,781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237,849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585,465</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(23,840)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(25,715)</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 in</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connection with:</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660" w:type="dxa"/>
            <w:vAlign w:val="bottom"/>
          </w:tcPr>
          <w:p>
            <w:pPr>
              <w:ind w:left="360"/>
              <w:spacing w:after="0" w:line="178" w:lineRule="exact"/>
              <w:rPr>
                <w:sz w:val="20"/>
                <w:szCs w:val="20"/>
                <w:color w:val="auto"/>
              </w:rPr>
            </w:pPr>
            <w:r>
              <w:rPr>
                <w:rFonts w:ascii="Arial" w:cs="Arial" w:eastAsia="Arial" w:hAnsi="Arial"/>
                <w:sz w:val="16"/>
                <w:szCs w:val="16"/>
                <w:color w:val="auto"/>
              </w:rPr>
              <w:t>Restricted stock awards, net of</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360"/>
              <w:spacing w:after="0"/>
              <w:rPr>
                <w:sz w:val="20"/>
                <w:szCs w:val="20"/>
                <w:color w:val="auto"/>
              </w:rPr>
            </w:pPr>
            <w:r>
              <w:rPr>
                <w:rFonts w:ascii="Arial" w:cs="Arial" w:eastAsia="Arial" w:hAnsi="Arial"/>
                <w:sz w:val="16"/>
                <w:szCs w:val="16"/>
                <w:color w:val="auto"/>
              </w:rPr>
              <w:t>cancellations</w:t>
            </w:r>
          </w:p>
        </w:tc>
        <w:tc>
          <w:tcPr>
            <w:tcW w:w="1000" w:type="dxa"/>
            <w:vAlign w:val="bottom"/>
          </w:tcPr>
          <w:p>
            <w:pPr>
              <w:jc w:val="right"/>
              <w:spacing w:after="0"/>
              <w:rPr>
                <w:sz w:val="20"/>
                <w:szCs w:val="20"/>
                <w:color w:val="auto"/>
              </w:rPr>
            </w:pPr>
            <w:r>
              <w:rPr>
                <w:rFonts w:ascii="Arial" w:cs="Arial" w:eastAsia="Arial" w:hAnsi="Arial"/>
                <w:sz w:val="16"/>
                <w:szCs w:val="16"/>
                <w:color w:val="auto"/>
              </w:rPr>
              <w:t>342,311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87,155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 of stock options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24,998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24,998</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Shares redeemed for employee tax</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withholdings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(7,903)</w:t>
            </w:r>
          </w:p>
        </w:tc>
        <w:tc>
          <w:tcPr>
            <w:tcW w:w="0" w:type="dxa"/>
            <w:vAlign w:val="bottom"/>
          </w:tcPr>
          <w:p>
            <w:pPr>
              <w:spacing w:after="0"/>
              <w:rPr>
                <w:sz w:val="1"/>
                <w:szCs w:val="1"/>
                <w:color w:val="auto"/>
              </w:rPr>
            </w:pPr>
          </w:p>
        </w:tc>
      </w:tr>
      <w:tr>
        <w:trPr>
          <w:trHeight w:val="213"/>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 repurchases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(425,164)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(25,902)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(25,906)</w:t>
            </w:r>
          </w:p>
        </w:tc>
        <w:tc>
          <w:tcPr>
            <w:tcW w:w="0" w:type="dxa"/>
            <w:vAlign w:val="bottom"/>
          </w:tcPr>
          <w:p>
            <w:pPr>
              <w:spacing w:after="0"/>
              <w:rPr>
                <w:sz w:val="1"/>
                <w:szCs w:val="1"/>
                <w:color w:val="auto"/>
              </w:rPr>
            </w:pPr>
          </w:p>
        </w:tc>
      </w:tr>
      <w:tr>
        <w:trPr>
          <w:trHeight w:val="23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24,560,855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(2,812,896)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(129,886)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454,512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214,009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551,942</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66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62,987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66,766</w:t>
            </w: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 in</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connection with:</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660" w:type="dxa"/>
            <w:vAlign w:val="bottom"/>
          </w:tcPr>
          <w:p>
            <w:pPr>
              <w:ind w:left="360"/>
              <w:spacing w:after="0" w:line="178" w:lineRule="exact"/>
              <w:rPr>
                <w:sz w:val="20"/>
                <w:szCs w:val="20"/>
                <w:color w:val="auto"/>
              </w:rPr>
            </w:pPr>
            <w:r>
              <w:rPr>
                <w:rFonts w:ascii="Arial" w:cs="Arial" w:eastAsia="Arial" w:hAnsi="Arial"/>
                <w:sz w:val="16"/>
                <w:szCs w:val="16"/>
                <w:color w:val="auto"/>
              </w:rPr>
              <w:t>Restricted stock awards, net of</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360"/>
              <w:spacing w:after="0"/>
              <w:rPr>
                <w:sz w:val="20"/>
                <w:szCs w:val="20"/>
                <w:color w:val="auto"/>
              </w:rPr>
            </w:pPr>
            <w:r>
              <w:rPr>
                <w:rFonts w:ascii="Arial" w:cs="Arial" w:eastAsia="Arial" w:hAnsi="Arial"/>
                <w:sz w:val="16"/>
                <w:szCs w:val="16"/>
                <w:color w:val="auto"/>
              </w:rPr>
              <w:t>cancellations</w:t>
            </w:r>
          </w:p>
        </w:tc>
        <w:tc>
          <w:tcPr>
            <w:tcW w:w="1000" w:type="dxa"/>
            <w:vAlign w:val="bottom"/>
          </w:tcPr>
          <w:p>
            <w:pPr>
              <w:jc w:val="right"/>
              <w:spacing w:after="0"/>
              <w:rPr>
                <w:sz w:val="20"/>
                <w:szCs w:val="20"/>
                <w:color w:val="auto"/>
              </w:rPr>
            </w:pPr>
            <w:r>
              <w:rPr>
                <w:rFonts w:ascii="Arial" w:cs="Arial" w:eastAsia="Arial" w:hAnsi="Arial"/>
                <w:sz w:val="16"/>
                <w:szCs w:val="16"/>
                <w:color w:val="auto"/>
              </w:rPr>
              <w:t>475,250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101,236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 of stock options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13"/>
        </w:trPr>
        <w:tc>
          <w:tcPr>
            <w:tcW w:w="2660" w:type="dxa"/>
            <w:vAlign w:val="bottom"/>
          </w:tcPr>
          <w:p>
            <w:pPr>
              <w:ind w:left="360"/>
              <w:spacing w:after="0"/>
              <w:rPr>
                <w:sz w:val="20"/>
                <w:szCs w:val="20"/>
                <w:color w:val="auto"/>
              </w:rPr>
            </w:pPr>
            <w:r>
              <w:rPr>
                <w:rFonts w:ascii="Arial" w:cs="Arial" w:eastAsia="Arial" w:hAnsi="Arial"/>
                <w:sz w:val="16"/>
                <w:szCs w:val="16"/>
                <w:color w:val="auto"/>
              </w:rPr>
              <w:t>Purchase of business</w:t>
            </w:r>
          </w:p>
        </w:tc>
        <w:tc>
          <w:tcPr>
            <w:tcW w:w="1000" w:type="dxa"/>
            <w:vAlign w:val="bottom"/>
          </w:tcPr>
          <w:p>
            <w:pPr>
              <w:jc w:val="right"/>
              <w:spacing w:after="0"/>
              <w:rPr>
                <w:sz w:val="20"/>
                <w:szCs w:val="20"/>
                <w:color w:val="auto"/>
              </w:rPr>
            </w:pPr>
            <w:r>
              <w:rPr>
                <w:rFonts w:ascii="Arial" w:cs="Arial" w:eastAsia="Arial" w:hAnsi="Arial"/>
                <w:sz w:val="16"/>
                <w:szCs w:val="16"/>
                <w:color w:val="auto"/>
              </w:rPr>
              <w:t>74,671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3,323</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23,971</w:t>
            </w:r>
          </w:p>
        </w:tc>
        <w:tc>
          <w:tcPr>
            <w:tcW w:w="0" w:type="dxa"/>
            <w:vAlign w:val="bottom"/>
          </w:tcPr>
          <w:p>
            <w:pPr>
              <w:spacing w:after="0"/>
              <w:rPr>
                <w:sz w:val="1"/>
                <w:szCs w:val="1"/>
                <w:color w:val="auto"/>
              </w:rPr>
            </w:pPr>
          </w:p>
        </w:tc>
      </w:tr>
      <w:tr>
        <w:trPr>
          <w:trHeight w:val="177"/>
        </w:trPr>
        <w:tc>
          <w:tcPr>
            <w:tcW w:w="2660" w:type="dxa"/>
            <w:vAlign w:val="bottom"/>
          </w:tcPr>
          <w:p>
            <w:pPr>
              <w:ind w:left="20"/>
              <w:spacing w:after="0" w:line="178" w:lineRule="exact"/>
              <w:rPr>
                <w:sz w:val="20"/>
                <w:szCs w:val="20"/>
                <w:color w:val="auto"/>
              </w:rPr>
            </w:pPr>
            <w:r>
              <w:rPr>
                <w:rFonts w:ascii="Arial" w:cs="Arial" w:eastAsia="Arial" w:hAnsi="Arial"/>
                <w:sz w:val="16"/>
                <w:szCs w:val="16"/>
                <w:color w:val="auto"/>
              </w:rPr>
              <w:t>Shares redeemed for employee tax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20"/>
              <w:spacing w:after="0"/>
              <w:rPr>
                <w:sz w:val="20"/>
                <w:szCs w:val="20"/>
                <w:color w:val="auto"/>
              </w:rPr>
            </w:pPr>
            <w:r>
              <w:rPr>
                <w:rFonts w:ascii="Arial" w:cs="Arial" w:eastAsia="Arial" w:hAnsi="Arial"/>
                <w:sz w:val="16"/>
                <w:szCs w:val="16"/>
                <w:color w:val="auto"/>
              </w:rPr>
              <w:t>withholdings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(197,189)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(10,103)</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(1,265,261)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(64,790)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(64,803)</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23,868,918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(2,908,849)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(135,969)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413,794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276,996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16,840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571,900</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76,831</w:t>
            </w:r>
          </w:p>
        </w:tc>
        <w:tc>
          <w:tcPr>
            <w:tcW w:w="0" w:type="dxa"/>
            <w:vAlign w:val="bottom"/>
          </w:tcPr>
          <w:p>
            <w:pPr>
              <w:spacing w:after="0"/>
              <w:rPr>
                <w:sz w:val="1"/>
                <w:szCs w:val="1"/>
                <w:color w:val="auto"/>
              </w:rPr>
            </w:pPr>
          </w:p>
        </w:tc>
      </w:tr>
      <w:tr>
        <w:trPr>
          <w:trHeight w:val="177"/>
        </w:trPr>
        <w:tc>
          <w:tcPr>
            <w:tcW w:w="2660" w:type="dxa"/>
            <w:vAlign w:val="bottom"/>
          </w:tcPr>
          <w:p>
            <w:pPr>
              <w:ind w:left="20"/>
              <w:spacing w:after="0" w:line="178" w:lineRule="exact"/>
              <w:rPr>
                <w:sz w:val="20"/>
                <w:szCs w:val="20"/>
                <w:color w:val="auto"/>
              </w:rPr>
            </w:pPr>
            <w:r>
              <w:rPr>
                <w:rFonts w:ascii="Arial" w:cs="Arial" w:eastAsia="Arial" w:hAnsi="Arial"/>
                <w:sz w:val="16"/>
                <w:szCs w:val="16"/>
                <w:color w:val="auto"/>
              </w:rPr>
              <w:t>Issuance of common stock in</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20"/>
              <w:spacing w:after="0"/>
              <w:rPr>
                <w:sz w:val="20"/>
                <w:szCs w:val="20"/>
                <w:color w:val="auto"/>
              </w:rPr>
            </w:pPr>
            <w:r>
              <w:rPr>
                <w:rFonts w:ascii="Arial" w:cs="Arial" w:eastAsia="Arial" w:hAnsi="Arial"/>
                <w:sz w:val="16"/>
                <w:szCs w:val="16"/>
                <w:color w:val="auto"/>
              </w:rPr>
              <w:t>connection with:</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66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Restricted stock awards, net of</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cancellations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363,891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109,548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660" w:type="dxa"/>
            <w:vAlign w:val="bottom"/>
          </w:tcPr>
          <w:p>
            <w:pPr>
              <w:ind w:left="360"/>
              <w:spacing w:after="0"/>
              <w:rPr>
                <w:sz w:val="20"/>
                <w:szCs w:val="20"/>
                <w:color w:val="auto"/>
              </w:rPr>
            </w:pPr>
            <w:r>
              <w:rPr>
                <w:rFonts w:ascii="Arial" w:cs="Arial" w:eastAsia="Arial" w:hAnsi="Arial"/>
                <w:sz w:val="16"/>
                <w:szCs w:val="16"/>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6"/>
                <w:szCs w:val="16"/>
                <w:color w:val="auto"/>
              </w:rPr>
              <w:t>36,536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1,421</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30,991</w:t>
            </w:r>
          </w:p>
        </w:tc>
        <w:tc>
          <w:tcPr>
            <w:tcW w:w="0" w:type="dxa"/>
            <w:vAlign w:val="bottom"/>
          </w:tcPr>
          <w:p>
            <w:pPr>
              <w:spacing w:after="0"/>
              <w:rPr>
                <w:sz w:val="1"/>
                <w:szCs w:val="1"/>
                <w:color w:val="auto"/>
              </w:rPr>
            </w:pPr>
          </w:p>
        </w:tc>
      </w:tr>
      <w:tr>
        <w:trPr>
          <w:trHeight w:val="177"/>
        </w:trPr>
        <w:tc>
          <w:tcPr>
            <w:tcW w:w="2660" w:type="dxa"/>
            <w:vAlign w:val="bottom"/>
          </w:tcPr>
          <w:p>
            <w:pPr>
              <w:ind w:left="20"/>
              <w:spacing w:after="0" w:line="178" w:lineRule="exact"/>
              <w:rPr>
                <w:sz w:val="20"/>
                <w:szCs w:val="20"/>
                <w:color w:val="auto"/>
              </w:rPr>
            </w:pPr>
            <w:r>
              <w:rPr>
                <w:rFonts w:ascii="Arial" w:cs="Arial" w:eastAsia="Arial" w:hAnsi="Arial"/>
                <w:sz w:val="16"/>
                <w:szCs w:val="16"/>
                <w:color w:val="auto"/>
              </w:rPr>
              <w:t>Shares redeemed for employee tax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20"/>
              <w:spacing w:after="0"/>
              <w:rPr>
                <w:sz w:val="20"/>
                <w:szCs w:val="20"/>
                <w:color w:val="auto"/>
              </w:rPr>
            </w:pPr>
            <w:r>
              <w:rPr>
                <w:rFonts w:ascii="Arial" w:cs="Arial" w:eastAsia="Arial" w:hAnsi="Arial"/>
                <w:sz w:val="16"/>
                <w:szCs w:val="16"/>
                <w:color w:val="auto"/>
              </w:rPr>
              <w:t>withholdings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(153,846)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(7,795)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(7,795)</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(2,037,752)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(121,288)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(121,308)</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22,231,593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(2,953,147)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(137,556)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318,706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352,548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552,040</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7"/>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75,552</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62,987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(23,840)</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27,359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25,978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30,222</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lease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7,763</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Lease-related impairment charges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13,217</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24,081</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impairment charges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59,816</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Allowances for doubtful accounts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(9,859)</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Gain on sale of property and equipment, excluding transaction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on sales of businesses, excluding transaction costs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Change in fair value of contingent consideration liabilities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preferred stock investment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 net of acquisitions and divestitures: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340"/>
              <w:spacing w:after="0"/>
              <w:rPr>
                <w:sz w:val="20"/>
                <w:szCs w:val="20"/>
                <w:color w:val="auto"/>
              </w:rPr>
            </w:pPr>
            <w:r>
              <w:rPr>
                <w:rFonts w:ascii="Arial" w:cs="Arial" w:eastAsia="Arial" w:hAnsi="Arial"/>
                <w:sz w:val="16"/>
                <w:szCs w:val="16"/>
                <w:color w:val="auto"/>
              </w:rPr>
              <w:t>(Increase) decrease in receivables from clients,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(25,847)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(39,845)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33,051</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unbilled services,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18,876</w:t>
            </w:r>
          </w:p>
        </w:tc>
        <w:tc>
          <w:tcPr>
            <w:tcW w:w="0" w:type="dxa"/>
            <w:vAlign w:val="bottom"/>
          </w:tcPr>
          <w:p>
            <w:pPr>
              <w:spacing w:after="0"/>
              <w:rPr>
                <w:sz w:val="1"/>
                <w:szCs w:val="1"/>
                <w:color w:val="auto"/>
              </w:rPr>
            </w:pPr>
          </w:p>
        </w:tc>
      </w:tr>
      <w:tr>
        <w:trPr>
          <w:trHeight w:val="213"/>
        </w:trPr>
        <w:tc>
          <w:tcPr>
            <w:tcW w:w="7720" w:type="dxa"/>
            <w:vAlign w:val="bottom"/>
          </w:tcPr>
          <w:p>
            <w:pPr>
              <w:ind w:left="340"/>
              <w:spacing w:after="0"/>
              <w:rPr>
                <w:sz w:val="20"/>
                <w:szCs w:val="20"/>
                <w:color w:val="auto"/>
              </w:rPr>
            </w:pPr>
            <w:r>
              <w:rPr>
                <w:rFonts w:ascii="Arial" w:cs="Arial" w:eastAsia="Arial" w:hAnsi="Arial"/>
                <w:sz w:val="16"/>
                <w:szCs w:val="16"/>
                <w:color w:val="auto"/>
              </w:rPr>
              <w:t>(Increase) decrease in current income tax receivable / payable,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(3,662)</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other assets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(11,972)</w:t>
            </w:r>
          </w:p>
        </w:tc>
        <w:tc>
          <w:tcPr>
            <w:tcW w:w="0" w:type="dxa"/>
            <w:vAlign w:val="bottom"/>
          </w:tcPr>
          <w:p>
            <w:pPr>
              <w:spacing w:after="0"/>
              <w:rPr>
                <w:sz w:val="1"/>
                <w:szCs w:val="1"/>
                <w:color w:val="auto"/>
              </w:rPr>
            </w:pPr>
          </w:p>
        </w:tc>
      </w:tr>
      <w:tr>
        <w:trPr>
          <w:trHeight w:val="213"/>
        </w:trPr>
        <w:tc>
          <w:tcPr>
            <w:tcW w:w="7720" w:type="dxa"/>
            <w:vAlign w:val="bottom"/>
          </w:tcPr>
          <w:p>
            <w:pPr>
              <w:ind w:left="340"/>
              <w:spacing w:after="0"/>
              <w:rPr>
                <w:sz w:val="20"/>
                <w:szCs w:val="20"/>
                <w:color w:val="auto"/>
              </w:rPr>
            </w:pPr>
            <w:r>
              <w:rPr>
                <w:rFonts w:ascii="Arial" w:cs="Arial" w:eastAsia="Arial" w:hAnsi="Arial"/>
                <w:sz w:val="16"/>
                <w:szCs w:val="16"/>
                <w:color w:val="auto"/>
              </w:rPr>
              <w:t>Increase (decrease) in accounts payable and accrued liabilities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(7,786)</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Increase (decrease) in accrued payroll and related benefits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Increase (decrease) in deferred revenues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6,246</w:t>
            </w:r>
          </w:p>
        </w:tc>
        <w:tc>
          <w:tcPr>
            <w:tcW w:w="0" w:type="dxa"/>
            <w:vAlign w:val="bottom"/>
          </w:tcPr>
          <w:p>
            <w:pPr>
              <w:spacing w:after="0"/>
              <w:rPr>
                <w:sz w:val="1"/>
                <w:szCs w:val="1"/>
                <w:color w:val="auto"/>
              </w:rPr>
            </w:pPr>
          </w:p>
        </w:tc>
      </w:tr>
      <w:tr>
        <w:trPr>
          <w:trHeight w:val="213"/>
        </w:trPr>
        <w:tc>
          <w:tcPr>
            <w:tcW w:w="77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136,738</w:t>
            </w:r>
          </w:p>
        </w:tc>
        <w:tc>
          <w:tcPr>
            <w:tcW w:w="0" w:type="dxa"/>
            <w:vAlign w:val="bottom"/>
          </w:tcPr>
          <w:p>
            <w:pPr>
              <w:spacing w:after="0"/>
              <w:rPr>
                <w:sz w:val="1"/>
                <w:szCs w:val="1"/>
                <w:color w:val="auto"/>
              </w:rPr>
            </w:pPr>
          </w:p>
        </w:tc>
      </w:tr>
      <w:tr>
        <w:trPr>
          <w:trHeight w:val="195"/>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(8,125)</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Investments in life insurance policies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(2,462)</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from life insurance policies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Purchases of businesses, net of cash acquired</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(44,819)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(8,701)</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investment securities</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Capitalization of internally developed software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(8,272)</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note receivable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Divestitures of business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41,273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0" w:type="dxa"/>
            <w:vAlign w:val="bottom"/>
          </w:tcPr>
          <w:p>
            <w:pPr>
              <w:spacing w:after="0"/>
              <w:rPr>
                <w:sz w:val="1"/>
                <w:szCs w:val="1"/>
                <w:color w:val="auto"/>
              </w:rPr>
            </w:pPr>
          </w:p>
        </w:tc>
      </w:tr>
      <w:tr>
        <w:trPr>
          <w:trHeight w:val="206"/>
        </w:trPr>
        <w:tc>
          <w:tcPr>
            <w:tcW w:w="77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(20,128)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(20,143)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(42,034)</w:t>
            </w:r>
          </w:p>
        </w:tc>
        <w:tc>
          <w:tcPr>
            <w:tcW w:w="0" w:type="dxa"/>
            <w:vAlign w:val="bottom"/>
          </w:tcPr>
          <w:p>
            <w:pPr>
              <w:spacing w:after="0"/>
              <w:rPr>
                <w:sz w:val="1"/>
                <w:szCs w:val="1"/>
                <w:color w:val="auto"/>
              </w:rPr>
            </w:pPr>
          </w:p>
        </w:tc>
      </w:tr>
      <w:tr>
        <w:trPr>
          <w:trHeight w:val="19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redeemed for employee tax withholdings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(7,903)</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Share repurchases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(120,393)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(64,612)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(27,141)</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bank borrowings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283,000</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Repayments of bank borrowings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(256,780)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(205,499)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9"/>
              </w:rPr>
              <w:t>(288,574)</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debt issuance costs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Deferred payments on business acquisitions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(74,108)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(44,410)</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(39,615)</w:t>
            </w:r>
          </w:p>
        </w:tc>
        <w:tc>
          <w:tcPr>
            <w:tcW w:w="0" w:type="dxa"/>
            <w:vAlign w:val="bottom"/>
          </w:tcPr>
          <w:p>
            <w:pPr>
              <w:spacing w:after="0"/>
              <w:rPr>
                <w:sz w:val="1"/>
                <w:szCs w:val="1"/>
                <w:color w:val="auto"/>
              </w:rPr>
            </w:pPr>
          </w:p>
        </w:tc>
      </w:tr>
      <w:tr>
        <w:trPr>
          <w:trHeight w:val="206"/>
        </w:trPr>
        <w:tc>
          <w:tcPr>
            <w:tcW w:w="772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55,573</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the period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20,781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67,177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11,604</w:t>
            </w:r>
          </w:p>
        </w:tc>
        <w:tc>
          <w:tcPr>
            <w:tcW w:w="0" w:type="dxa"/>
            <w:vAlign w:val="bottom"/>
          </w:tcPr>
          <w:p>
            <w:pPr>
              <w:spacing w:after="0"/>
              <w:rPr>
                <w:sz w:val="1"/>
                <w:szCs w:val="1"/>
                <w:color w:val="auto"/>
              </w:rPr>
            </w:pPr>
          </w:p>
        </w:tc>
      </w:tr>
      <w:tr>
        <w:trPr>
          <w:trHeight w:val="235"/>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the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20,781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67,177</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720" w:type="dxa"/>
            <w:vAlign w:val="bottom"/>
          </w:tcPr>
          <w:p>
            <w:pPr>
              <w:ind w:left="340"/>
              <w:spacing w:after="0" w:line="178" w:lineRule="exact"/>
              <w:rPr>
                <w:sz w:val="20"/>
                <w:szCs w:val="20"/>
                <w:color w:val="auto"/>
              </w:rPr>
            </w:pPr>
            <w:r>
              <w:rPr>
                <w:rFonts w:ascii="Arial" w:cs="Arial" w:eastAsia="Arial" w:hAnsi="Arial"/>
                <w:sz w:val="16"/>
                <w:szCs w:val="16"/>
                <w:color w:val="auto"/>
              </w:rPr>
              <w:t>Property and equipment expenditures and capitalized software included in accounts payable, accrued</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340"/>
              <w:spacing w:after="0"/>
              <w:rPr>
                <w:sz w:val="20"/>
                <w:szCs w:val="20"/>
                <w:color w:val="auto"/>
              </w:rPr>
            </w:pPr>
            <w:r>
              <w:rPr>
                <w:rFonts w:ascii="Arial" w:cs="Arial" w:eastAsia="Arial" w:hAnsi="Arial"/>
                <w:sz w:val="16"/>
                <w:szCs w:val="16"/>
                <w:color w:val="auto"/>
              </w:rPr>
              <w:t>expenses and accrued payroll and related benefits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3,784</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4,733</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Contingent consideration related to purchases of businesses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13"/>
        </w:trPr>
        <w:tc>
          <w:tcPr>
            <w:tcW w:w="7720" w:type="dxa"/>
            <w:vAlign w:val="bottom"/>
          </w:tcPr>
          <w:p>
            <w:pPr>
              <w:ind w:left="340"/>
              <w:spacing w:after="0"/>
              <w:rPr>
                <w:sz w:val="20"/>
                <w:szCs w:val="20"/>
                <w:color w:val="auto"/>
              </w:rPr>
            </w:pPr>
            <w:r>
              <w:rPr>
                <w:rFonts w:ascii="Arial" w:cs="Arial" w:eastAsia="Arial" w:hAnsi="Arial"/>
                <w:sz w:val="16"/>
                <w:szCs w:val="16"/>
                <w:color w:val="auto"/>
              </w:rPr>
              <w:t>Common stock issued related to purchase of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3,323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 repurchases included in accounts payable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Cash paid during the year for:</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8,309</w:t>
            </w:r>
          </w:p>
        </w:tc>
        <w:tc>
          <w:tcPr>
            <w:tcW w:w="0" w:type="dxa"/>
            <w:vAlign w:val="bottom"/>
          </w:tcPr>
          <w:p>
            <w:pPr>
              <w:spacing w:after="0"/>
              <w:rPr>
                <w:sz w:val="1"/>
                <w:szCs w:val="1"/>
                <w:color w:val="auto"/>
              </w:rPr>
            </w:pPr>
          </w:p>
        </w:tc>
      </w:tr>
      <w:tr>
        <w:trPr>
          <w:trHeight w:val="210"/>
        </w:trPr>
        <w:tc>
          <w:tcPr>
            <w:tcW w:w="7720" w:type="dxa"/>
            <w:vAlign w:val="bottom"/>
          </w:tcPr>
          <w:p>
            <w:pPr>
              <w:ind w:left="340"/>
              <w:spacing w:after="0"/>
              <w:rPr>
                <w:sz w:val="20"/>
                <w:szCs w:val="20"/>
                <w:color w:val="auto"/>
              </w:rPr>
            </w:pPr>
            <w:r>
              <w:rPr>
                <w:rFonts w:ascii="Arial" w:cs="Arial" w:eastAsia="Arial" w:hAnsi="Arial"/>
                <w:sz w:val="16"/>
                <w:szCs w:val="16"/>
                <w:color w:val="auto"/>
              </w:rPr>
              <w:t>Income taxes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13,485</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8,449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4,721</w:t>
            </w:r>
          </w:p>
        </w:tc>
        <w:tc>
          <w:tcPr>
            <w:tcW w:w="0" w:type="dxa"/>
            <w:vAlign w:val="bottom"/>
          </w:tcPr>
          <w:p>
            <w:pPr>
              <w:spacing w:after="0"/>
              <w:rPr>
                <w:sz w:val="1"/>
                <w:szCs w:val="1"/>
                <w:color w:val="auto"/>
              </w:rPr>
            </w:pPr>
          </w:p>
        </w:tc>
      </w:tr>
    </w:tbl>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20"/>
          </w:cols>
          <w:pgMar w:left="320" w:top="140" w:right="359" w:bottom="47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47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7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Huron is a global professional services firm that partners with clients to develop growth strategies, optimize operations and accelerate digital transformation using an enterprise portfolio of technology, data and analytics solutions to empower clients to own their future. By collaborating with clients, embracing diverse perspectives, encouraging new ideas and challenging the status quo, we create sustainable results for the organizations we serve.</w:t>
      </w:r>
    </w:p>
    <w:p>
      <w:pPr>
        <w:spacing w:after="0" w:line="150"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The new operating model strengthens Huron’s go-to-market strategy, drives efficiencies that support margin expansion, and positions the company to accelerate growth.</w:t>
      </w:r>
    </w:p>
    <w:p>
      <w:pPr>
        <w:spacing w:after="0" w:line="148"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To align with the new operating model, effective with reporting for periods beginning January 1, 2022, we began reporting under the three industries, which are our reportable segments: Healthcare, Education and Commercial. The Commercial segment includes all industries outside of healthcare and education, including, but not limited to, financial services and energy and utilities. In the new 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segment.We also provide revenue reporting across two principal capabilities: i) Consulting and Managed Services and ii) Digital. These changes improve visibility into the core drivers of our business. While our consolidated results have not been impacted, our historical segment information has been recast for consistent presentation.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See Note 19 “Segment Information” for a discussion of our three segments.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93"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The accompanying consolidated financial statements reflect the financial position at December 31, 2022 and 2021, and the results of operations and cash flows for the years ended December 31, 2022, 2021, and 2020.</w:t>
      </w:r>
    </w:p>
    <w:p>
      <w:pPr>
        <w:spacing w:after="0" w:line="14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consolidated financial statements include the accounts of Huron Consulting Group Inc. and its subsidiaries, all of which are wholly-owned. All intercompany balances and transactions have been eliminated in consolidation.</w:t>
      </w:r>
    </w:p>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order to better align with industry standards, in the first quarter of 2022, we revised the presentation of our consolidated statement of operations and other comprehensive income (loss) to present depreciation and amortization expense in the aggregate with amortization of intangible assets and software development costs that were previously presented separately within total direct costs and reimbursable expenses. We also aggregated immaterial line items within selling, general and administrative expenses. The change in presentation has no effect on our consolidated results, and our historical consolidated statements of operations and other comprehensive income (loss) were revised for consistent presentation.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that are reported in the consolidated financial statements and accompanying disclosures. Actual results may differ from these estimates and assumptions.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generate substantially all of our revenues from providing professional services to our clients. We also generate revenues from software licenses; software support and maintenance and subscriptions to our cloud-based analytic tools and solutions; speaking engagements; conferences; and publications. A single contract could include one or multiple performance obligations. For those contracts that have multiple performance obligations, we allocate the total transaction price to each performance obligation based on its relative standalone selling price, which is determined based on our overall pricing objectives, taking into consideration market conditions and other factors.</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Revenue is recognized when control of the goods and services provided are transferred to our customers and in an amount that reflects the consideration we expect to be entitled to in exchange for those goods and services using the following steps: 1) identify the contract, 2) identify the performance obligations, 3) determine the transaction price, 4) allocate the transaction price to the performance obligations in the contract, and 5) recognize revenue as or when we satisfy the performance obligations.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We generate our revenues under four types of billing arrangements: fixed-fee (including software license revenue); time-and-expense; performance-based; and software support, maintenance and subscriptions.</w:t>
      </w:r>
    </w:p>
    <w:p>
      <w:pPr>
        <w:spacing w:after="0" w:line="144" w:lineRule="exact"/>
        <w:rPr>
          <w:sz w:val="20"/>
          <w:szCs w:val="20"/>
          <w:color w:val="auto"/>
        </w:rPr>
      </w:pPr>
    </w:p>
    <w:p>
      <w:pPr>
        <w:ind w:left="660" w:hanging="328"/>
        <w:spacing w:after="0" w:line="251" w:lineRule="auto"/>
        <w:tabs>
          <w:tab w:leader="none" w:pos="669"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Fixed-fee (including software license revenue): In fixed-fee billing arrangements,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to-date versus our estimates of the total services to be provided under the engagement. Contracts within our Culture and Organizational Excellence solution include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 Estimates of total engagement revenues and cost of services are monitored regularly during the term of the engagement.</w:t>
      </w:r>
    </w:p>
    <w:p>
      <w:pPr>
        <w:spacing w:after="0" w:line="157" w:lineRule="exact"/>
        <w:rPr>
          <w:rFonts w:ascii="Arial" w:cs="Arial" w:eastAsia="Arial" w:hAnsi="Arial"/>
          <w:sz w:val="18"/>
          <w:szCs w:val="18"/>
          <w:color w:val="auto"/>
        </w:rPr>
      </w:pPr>
    </w:p>
    <w:p>
      <w:pPr>
        <w:ind w:left="660" w:right="80"/>
        <w:spacing w:after="0" w:line="253" w:lineRule="auto"/>
        <w:rPr>
          <w:rFonts w:ascii="Arial" w:cs="Arial" w:eastAsia="Arial" w:hAnsi="Arial"/>
          <w:sz w:val="18"/>
          <w:szCs w:val="18"/>
          <w:color w:val="auto"/>
        </w:rPr>
      </w:pPr>
      <w:r>
        <w:rPr>
          <w:rFonts w:ascii="Arial" w:cs="Arial" w:eastAsia="Arial" w:hAnsi="Arial"/>
          <w:sz w:val="18"/>
          <w:szCs w:val="18"/>
          <w:color w:val="auto"/>
        </w:rPr>
        <w:t>We also generate revenues from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51" w:lineRule="exact"/>
        <w:rPr>
          <w:rFonts w:ascii="Arial" w:cs="Arial" w:eastAsia="Arial" w:hAnsi="Arial"/>
          <w:sz w:val="18"/>
          <w:szCs w:val="18"/>
          <w:color w:val="auto"/>
        </w:rPr>
      </w:pPr>
    </w:p>
    <w:p>
      <w:pPr>
        <w:ind w:left="660" w:right="160" w:hanging="328"/>
        <w:spacing w:after="0" w:line="252" w:lineRule="auto"/>
        <w:tabs>
          <w:tab w:leader="none" w:pos="66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Time-and-expense: Under time-and-expense billing arrangements, we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Culture and Organizational Excellence solution and the portion of our Healthcare Managed Services contracts that are billed under time-and-expense arrangements. We recognize revenues under time-and-expense arrangements as the related services or publications are provided, using the right to invoice practical expedient which allows us to recognize revenue in the amount that we have a right to invoice based on the number of hours worked and the agreed upon hourly rates or the value of the speaking engagements, conferences or publications purchased by our clients.</w:t>
      </w:r>
    </w:p>
    <w:p>
      <w:pPr>
        <w:spacing w:after="0" w:line="151" w:lineRule="exact"/>
        <w:rPr>
          <w:rFonts w:ascii="Arial" w:cs="Arial" w:eastAsia="Arial" w:hAnsi="Arial"/>
          <w:sz w:val="18"/>
          <w:szCs w:val="18"/>
          <w:color w:val="auto"/>
        </w:rPr>
      </w:pPr>
    </w:p>
    <w:p>
      <w:pPr>
        <w:ind w:left="660" w:right="60" w:hanging="328"/>
        <w:spacing w:after="0" w:line="251" w:lineRule="auto"/>
        <w:tabs>
          <w:tab w:leader="none" w:pos="669"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Performance-based: 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We recognize revenue under performance-based billing arrangements using the following steps: 1) estimate variable consideration using a probability-weighted assessment of the fees to be earned, 2) apply a constraint to the estimated variable consideration to limit the amount that could be reversed when the uncertainty is resolved (the “constraint”), and 3) recognize revenue of estimated variable consideration, net of the constraint, based on work completed to-date versus our estimates of the total services to be provided under the engagement.</w:t>
      </w:r>
    </w:p>
    <w:p>
      <w:pPr>
        <w:spacing w:after="0" w:line="157" w:lineRule="exact"/>
        <w:rPr>
          <w:rFonts w:ascii="Arial" w:cs="Arial" w:eastAsia="Arial" w:hAnsi="Arial"/>
          <w:sz w:val="18"/>
          <w:szCs w:val="18"/>
          <w:color w:val="auto"/>
        </w:rPr>
      </w:pPr>
    </w:p>
    <w:p>
      <w:pPr>
        <w:ind w:left="660" w:hanging="328"/>
        <w:spacing w:after="0" w:line="254" w:lineRule="auto"/>
        <w:tabs>
          <w:tab w:leader="none" w:pos="669"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Software support, maintenance and subscriptions: 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w:t>
      </w:r>
    </w:p>
    <w:p>
      <w:pPr>
        <w:spacing w:after="0" w:line="15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Provisions are recorded for the estimated realization adjustments on all engagements, including engagements for which fees are subject to review by the bankruptcy courts.</w:t>
      </w:r>
    </w:p>
    <w:p>
      <w:pPr>
        <w:spacing w:after="0" w:line="130"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Reimbursable expenses that are billed to clients, primarily relating to travel and out-of-pocket expenses incurred in connection with client engagements, are included in total revenues and reimbursable expenses. Reimbursable expenses are recognized as expenses in the period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which the expense is incurred.</w:t>
      </w:r>
    </w:p>
    <w:p>
      <w:pPr>
        <w:spacing w:after="0" w:line="15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 Revenues recognized for services performed but not yet billed to clients are recorded as unbilled services. Revenues recognized, but for which we are not yet entitled to bill because certain events, such as the completion of the measurement period or client approval, must occur, are recorded as contract assets and included within unbilled services. Client prepayments and retainers are classified as deferred revenues and recognized over future periods as earned in accordance with the applicable engagement agreement.</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Sales Commissions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Sales commissions earned by our sales professionals are considered incremental and recoverable costs of obtaining a contract with a customer. Sales commissions with an expected amortization period greater than one year are deferred and amortized on a straight-line basis over the period of the associated contract. We elected to apply the practical expedient to expense sales commissions as incurred when the expected amortization period is one year or less. Amortization expense is recorded to direct costs. During the years ended December 31, 2022, 2021, and 2020, we amortized $0.3 million, $0.4 million, and $0.4 million, respectively, of capitalized sales commissions. Unamortized sales commissions were $0.4 million and $0.6 million as of December 31, 2022 and 2021,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maintain allowances for doubtful accounts and for services performed but not yet billed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 These 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spacing w:after="0" w:line="1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record the provision for doubtful accounts and unbilled services as a reduction in revenue. To the extent we write-off accounts receivable due to a client's inability to pay, the charge is recognized as a component of selling, general and administrative expenses.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Direct costs primarily consist of payroll costs for our revenue-generating professionals which includes salaries, performance bonuses, share-based compensation, signing and retention bonuses, payroll taxes and benefits. Direct costs also include fees paid to independent contractors that we retain to supplement our revenue-generating professionals, typically on an as-needed basis for specific client engagements, as well as technology costs, product and event costs, and commissions. Direct costs exclude amortization of intangible assets and software development costs and reimbursable expenses, both of which are separately presented in our consolidated statements of operations. Direct costs are expensed in the period incurred.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consider all highly liquid investments, including overnight investments and commercial paper, with original maturities of three months or less to be cash equivalents.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 the extent receivables from clients become delinquent, collection activities commence. No single client balance is considered large enough to pose a material credit risk. The allowances for doubtful accounts and unbilled services are based upon the expected ability to collect accounts receivable and bill and collect unbilled services. Management does not anticipate incurring losses on accounts receivable in excess of established allowances. See Note 19 “Segment Information” for concentration of accounts receivable and unbilled services.</w:t>
      </w:r>
    </w:p>
    <w:p>
      <w:pPr>
        <w:spacing w:after="0" w:line="15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hold our cash in accounts at multiple third-party financial institutions. These deposits, at times, may exceed federally insured limits. We review the credit ratings of these financial institutions, regularly monitor the cash balances in these accounts, and adjust the balances as appropriate. However, these cash balances could be impacted if the underlying financial institutions fail or are subject to other adverse conditions in the financial markets.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Investments</w:t>
      </w:r>
    </w:p>
    <w:p>
      <w:pPr>
        <w:spacing w:after="0" w:line="193"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Our long-term investments consist of our convertible debt investment in Shorelight Holdings, LLC (“Shorelight”) and preferred stock investment in Medically Home Group, Inc. (“Medically Home”).</w:t>
      </w:r>
    </w:p>
    <w:p>
      <w:pPr>
        <w:spacing w:after="0" w:line="14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classified the convertible debt investment in Shorelight as available-for-sale at the time of purchase and reevaluate such classification as of each balance sheet date. The investment is carried at fair value with unrealized holding gains and losses reported in other comprehensive income. If the investment is in an unrealized loss position due to significant credit deterioration of the investee, we recognize an allowance to decrease the carrying value of the investment to the fair value, which may be reversed in the event that the credit of an issuer improves. In the event there are realized gains and losses or credit allowances recognized, we will record the amount in earnings. We have not recognized any credit allowance on our convertible debt investment or realized gains or losses as of December 31, 2022. See Note 13 “Fair Value of Financial Instruments” for additional information on our convertible debt investment.</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classified the preferred stock investment in Medically Home as an equity security without a readily determinable value at the time of purchase and reevaluate such classification as of each balance sheet date. We elected to apply the measurement alternative at the time of purchase and will continue to do so until the investment does not qualify to be so measured. Under the measurement alternative, the investment is carried at cost minus impairment, if any, plus or minus changes resulting from observable price changes in orderly transactions for an identical or similar investment in Medically Home. Any unrealized holding gains and losses resulting from observable price changes are recorded in our consolidated statement of operations. Following our purchase, we have not identified any impairment of our investment. See Note 13 “Fair Value of Financial Instruments” for additional information on our preferred stock investment and the unrealized gains recognized since our initial investment.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9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See Note 13 “Fair Value of Financial Instruments” for the accounting policies used to measure the fair value of our financial assets and liabilities that are measured at fair value on a recurring basis.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Property and equipment are recorded at cost, less accumulated depreciation. Depreciation of property and equipment is computed on a straight-line basis over the estimated useful lives of the assets. Software, computers, and related equipment are depreciated over an estimated useful life of two to four years. Furniture and fixtures are depreciated over five years. Leasehold improvements are amortized over the lesser of the estimated useful life of the asset or the initial term of the lease.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93"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We determine if an arrangement contains a lease and the classification of such lease at inception. As of December 31, 2022 and 2021, all of our material leases are classified as operating leases; we have not entered into any material finance leases. For all operating leases with an initial term greater than 12 months, we recognize an operating lease right-of-use (“ROU”) asset and operating lease liability. Leases with an initial term of 12 months or less are not recorded on the balance sheet; we recognize lease expense for these leases on a straight-line basis over the lease term.</w:t>
      </w:r>
    </w:p>
    <w:p>
      <w:pPr>
        <w:spacing w:after="0" w:line="1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Operating lease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As our leases do not provide an implicit rate, we use our incremental borrowing rate based on the information available at the lease commencement date and provided by the administrative agent for our senior secured credit facility in determining the present value of lease payments. Operating lease ROU assets exclude lease incentives. We elected the practical expedient to combine lease and nonlease components. Certain lease agreements contain variable lease payments that do not depend on an index or rate. These variable lease payments are not included in the calculation of the operating lease ROU asset and operating lease liability; instead, they are expensed as incurred. Our leases may contain options to extend or terminate the lease, and we include these terms in our calculation of the operating lease ROU asset and operating lease liability when it is reasonably certain that we will exercise the option.</w:t>
      </w:r>
    </w:p>
    <w:p>
      <w:pPr>
        <w:spacing w:after="0" w:line="15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Operating lease expense is recognized on a straight-line basis over the lease term and recorded within selling, general and administrative expenses on our consolidated statement of operations. In accordance with our accounting policy for impairment of long-lived assets, operating lease ROU assets are reviewed for impairment whenever events or changes in circumstances indicate that the carrying amount of the asset group to which the operating lease ROU asset is assigned may not be recoverable. We evaluate the recoverability of the asset group based on forecasted undiscounted cash flows. See Note 5 “Leases” for additional information on our leases, including the lease impairment charges recorded in 2022 and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incur internal and external software development costs related to our cloud computing applications and software for internal use. We capitalize these software development costs incurred during the application development stage. Costs related to preliminary project activities and post implementation activities are expensed as incurred. Once the project is substantially complete and ready for its intended use, these costs are amortized on a straight-line basis over the technology's estimated useful life. Acquired technology assets are initially recorded at fair value and amortized on a straight-line basis over the estimated useful life.</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Development costs related to software products that will be sold, leased, or otherwise marketed are expensed until technological feasibility has been established. Thereafter, and until the software is available for general release to customers, these software development costs are capitalized and subsequently reported at the lower of unamortized cost or net realizable value. These capitalized development costs are</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amortized in proportion to current and future revenue for each product with an annual minimum equal to the straight-line amortization over the remaining estimated economic life of the product. We did not capitalize any development costs for this type of software during 2022 or 2021.</w:t>
      </w:r>
    </w:p>
    <w:p>
      <w:pPr>
        <w:spacing w:after="0" w:line="14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classify capitalized software development costs, which primarily relate to cloud computing applications and software for internal use, as other non-current assets on our consolidated balance sheet. As of December 31, 2022, gross capitalized software development costs and related accumulated amortization was $47.7 million and $ 21.5 million, respectively. As of December 31, 2021, gross capitalized software development costs and related accumulated amortization was $33.6 million and $ 15.6 million, respectively. During the years ended December 31, 2022, 2021, and 2020, we amortized $5.9 million, $5.2 million, and $4.7 million, respectively, of capitalized software development costs.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Costs Incurred in a Cloud Computing Arrangement</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incur costs to implement cloud computing arrangements that are service contracts. We capitalize certain costs associated with the implementation of the cloud computing arrangements, including employee payroll and related benefits and third party consulting costs, incurred during the application development stage of a project. These costs are amortized on a straight-line basis over the term of the hosting service contracts, including renewal periods we are reasonably certain to exercise, and recognized as a component of selling, general and administrative expenses on our consolidated statement of operations. As of December 31, 2022, gross capitalized implementation costs incurred in a cloud computing arrangement and related accumulated amortization was $6.5 million and $1.5 million, respectively. As of December 31, 2021, gross capitalized implementation costs incurred in a cloud computing arrangement and related accumulated amortization was $ 6.5 million and $0.9 million, respectively. During the years ended December 31, 2022 and 2021, we recognized amortization of our capitalized implementation costs of $1.2 million and $0.9 million, respectively. We did not recognize any amortization of capitalized implementation costs in 2020. Of the $1.2 million amortization for capitalized implementation costs in 2022, $0.3 million was recognized as a restructuring charge as it related to accelerated amortization of capitalized software implementation costs for a cloud-computing arrangement that is no longer in use. Our capitalized implementation costs primarily relate to the implementation of a new enterprise resource planning (“ERP”) system. In January 2021, we successfully went live with the new ERP system, and we continue to progress with additional functionality and integrations as scheduled. These capitalized costs are included as a component of prepaid expenses and other current assets and other non-current assets on our consolidated balance sheet.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Identifiable intangible assets are amortized over their expected useful lives using a method that reflects the economic benefit expected to be derived from the assets or on a straight-line basis. We evaluate the recoverability of intangible assets periodically by considering events or circumstances that may warrant revised estimates of useful lives or that indicate the asset may be impaired.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Long-lived assets, including property and equipment, right-of-use assets, and intangible assets, are reviewed for impairment whenever events or changes in circumstances indicate that the carrying amount of an asset may not be recoverable. Events relating to recoverability may include significant unfavorable changes in business conditions, recurring losses, or a significant decline in forecasted operating results over an extended period of time. We evaluate the recoverability of long-lived assets based on forecasted undiscounted cash flows. See Note 5 “Leases” and Note 11 “Restructuring Charges” for information on our operating lease right-of-use asset impairment charges recorded in 2022 and 2020 and fixed asset impairment charges recorded in 2020. No material impairment charges for other long-lived assets were recorded in 2022, 2021, or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acquisitions accounted for as a business combination, goodwill represents the excess of the cost over the fair value of the net assets acquired. We are required to test goodwill for impairment, at the reporting unit level, annually and when events or circumstances indicate the fair value of a reporting unit may be below its carrying value. We perform our annual goodwill impairment test as of November 30 and monitor for interim triggering events on an ongoing basis.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As of December 31, 2022, we have three reporting units: Healthcare, Education, and Commercial.</w:t>
      </w:r>
    </w:p>
    <w:p>
      <w:pPr>
        <w:spacing w:after="0" w:line="15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2022, we performed two goodwill impairment tests: an interim impairment test for each of our reporting units as of January 1, 2022 in connection with the operating model modification and the annual impairment test for each of our reporting units as of November 30. We did not identify any impairments during our interim or annual impairment tests performed during 2022. Further, we evaluated whether any events have occurred, or any circumstances have changed since November 30, 2022 that would indicate goodwill may have become impaired since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our annual impairment test. Based on our evaluation as of December 31, 2022, we determined that no indications of impairment have arisen since our annual goodwill impairment test.</w:t>
      </w:r>
    </w:p>
    <w:p>
      <w:pPr>
        <w:spacing w:after="0" w:line="144"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In 2021, we performed the annual goodwill impairment test as of November 30, 2021, pursuant to our policy, and determined that no impairment of goodwill existed as of that date.</w:t>
      </w:r>
    </w:p>
    <w:p>
      <w:pPr>
        <w:spacing w:after="0" w:line="144"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In 2020, we performed two goodwill impairment tests: an interim impairment test on our Strategy and Innovation and Life Sciences reporting units in the first quarter of 2020 and the annual impairment test on all reporting units with a goodwill balance in the fourth quarter of 2020. As a result of the interim impairment test performed in the first quarter of 2020, we recorded total non-cash pretax goodwill impairment charges of $59.8 million. We did not identify any additional impairments during our annual impairment test performed in the fourth quarter of 2020.</w:t>
      </w:r>
    </w:p>
    <w:p>
      <w:pPr>
        <w:spacing w:after="0" w:line="15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See Note 4 “Goodwill and Intangible Assets” for additional information on our interim and annual goodwill impairment tests, and the non-cash goodwill impairment charges recorded in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use the acquisition method of accounting for business combinations</w:t>
      </w:r>
      <w:r>
        <w:rPr>
          <w:rFonts w:ascii="Arial" w:cs="Arial" w:eastAsia="Arial" w:hAnsi="Arial"/>
          <w:sz w:val="18"/>
          <w:szCs w:val="18"/>
          <w:i w:val="1"/>
          <w:iCs w:val="1"/>
          <w:color w:val="auto"/>
        </w:rPr>
        <w:t>.</w:t>
      </w:r>
      <w:r>
        <w:rPr>
          <w:rFonts w:ascii="Arial" w:cs="Arial" w:eastAsia="Arial" w:hAnsi="Arial"/>
          <w:sz w:val="18"/>
          <w:szCs w:val="18"/>
          <w:color w:val="auto"/>
        </w:rPr>
        <w:t xml:space="preserve"> Each acquired company’s operating results are included in our consolidated financial statements starting on the date of acquisition. The purchase price is equivalent to the fair value of consideration transferred. In 2021, we adopted Accounting Standards Update ("ASU") 2021-08, </w:t>
      </w:r>
      <w:r>
        <w:rPr>
          <w:rFonts w:ascii="Arial" w:cs="Arial" w:eastAsia="Arial" w:hAnsi="Arial"/>
          <w:sz w:val="18"/>
          <w:szCs w:val="18"/>
          <w:i w:val="1"/>
          <w:iCs w:val="1"/>
          <w:color w:val="auto"/>
        </w:rPr>
        <w:t>Business Combinations (Topic 805):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 Assets and Contract Liabilities from Contracts with Customers </w:t>
      </w:r>
      <w:r>
        <w:rPr>
          <w:rFonts w:ascii="Arial" w:cs="Arial" w:eastAsia="Arial" w:hAnsi="Arial"/>
          <w:sz w:val="18"/>
          <w:szCs w:val="18"/>
          <w:color w:val="auto"/>
        </w:rPr>
        <w:t>retrospectively to all acquisitions in 2021. Under ASU 2021-08,</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contract assets and contract liabilities acquired are recorded at their carrying value under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Prior to adoption of ASU 2021-08, contract assets and contract liabilities were recognized at their estimated fair values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date. All other tangible assets and identifiable intangible assets acquired and liabilities assumed are recorded at fair value as of the acquisition date. Goodwill is recognized for the excess of purchase price over the net value of tangible and intangible assets acquired and liabilities assumed. Contingent consideration, which is primarily based on the business achieving certain performance targets, is recognized at its fair value on the acquisition date, and changes in fair value are recognized in earnings until settled. Refer to Note 3 “Acquisitions and Divestitures” for additional information on our business acquisitions and refer to Note 13 “Fair Value of Financial Instruments” for additional information regarding our contingent acquisition liability balances.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Current tax liabilities and assets are recognized for the estimated taxes payable or refundable, respectively, on the tax returns for the current year. We have elected to recognize the tax expense related to Global Intangible Low-Taxed Income ("GILTI") as a current period expense when incurred.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To the extent that deferred tax assets will not likely be recovered from future taxable income, a valuation allowance is established against such deferred tax assets. Refer to Note 17 "Income Taxes" for further information regarding incomes taxes.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93"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Share-based compensation cost is measured based on the grant date fair value of the respective awards. We generally recognize share-based compensation ratably using the straight-line attribution method; however, for those awards with performance criteria and graded vesting features, we use the graded vesting attribution method. It is our policy to account for forfeitures as they occur. Refer to Note 16 "Equity Incentive Plan" for further information regarding share-based compensation.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Sponsorship and Advertising Costs</w:t>
      </w:r>
    </w:p>
    <w:p>
      <w:pPr>
        <w:spacing w:after="0" w:line="19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Sponsorship and advertising costs are expensed as incurred. Such expenses for the years ended December 31, 2022, 2021, and 2020 totaled $6.3 million, $4.3 million, and $4.1 million, respectively, and are a component of selling, general and administrative expenses on our consolidated statement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9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amortize the costs we incur to obtain debt financing over the contractual life of the related debt using the straight-line method for our senior secured revolving credit facility. The amortization expense is included in interest expense, net of interest income in our statement of operations. Unamortized debt issuance costs attributable to our revolving credit facility are included as a component of other non-current assets.</w:t>
      </w:r>
    </w:p>
    <w:p>
      <w:pPr>
        <w:sectPr>
          <w:pgSz w:w="11900" w:h="16838" w:orient="portrait"/>
          <w:cols w:equalWidth="0" w:num="1">
            <w:col w:w="11200"/>
          </w:cols>
          <w:pgMar w:left="320" w:top="140" w:right="37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Assets and liabilities of foreign subsidiaries whose functional currency is not the United States Dollar (USD) are translated into USD using the exchange rates in effect at period end. Revenue and expense items are translated using the average exchange rates for the period. Foreign currency translation adjustments are included in accumulated other comprehensive income, which is a component of stockholders’ equity.</w:t>
      </w:r>
    </w:p>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Foreign currency transaction gains and losses are included in other income, net on the consolidated statement of operations. We recognized $0.7 million of foreign currency transaction gains in 2022, $0.4 million of foreign currency transaction losses in 2021, and less than $0.1 million of foreign currency transaction gains in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9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As of December 31, 2022, our chief operating decision maker manages the business under three operating segments, which are our reportable segments: Healthcare, Education, and Commercial.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7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 xml:space="preserve">In March 2020, the Financial Accounting Standards Board ("FASB") issued ASU 2020-04, </w:t>
      </w:r>
      <w:r>
        <w:rPr>
          <w:rFonts w:ascii="Arial" w:cs="Arial" w:eastAsia="Arial" w:hAnsi="Arial"/>
          <w:sz w:val="18"/>
          <w:szCs w:val="18"/>
          <w:i w:val="1"/>
          <w:iCs w:val="1"/>
          <w:color w:val="auto"/>
        </w:rPr>
        <w:t>Reference Rate Reform (Topic 848): Facilitation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the Effects of Reference Rate Reform on Financial Reporting</w:t>
      </w:r>
      <w:r>
        <w:rPr>
          <w:rFonts w:ascii="Arial" w:cs="Arial" w:eastAsia="Arial" w:hAnsi="Arial"/>
          <w:sz w:val="18"/>
          <w:szCs w:val="18"/>
          <w:color w:val="auto"/>
        </w:rPr>
        <w:t>. In January 2021, the FASB clarified the scope of that guidance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issuance of ASU 2021-01, </w:t>
      </w:r>
      <w:r>
        <w:rPr>
          <w:rFonts w:ascii="Arial" w:cs="Arial" w:eastAsia="Arial" w:hAnsi="Arial"/>
          <w:sz w:val="18"/>
          <w:szCs w:val="18"/>
          <w:i w:val="1"/>
          <w:iCs w:val="1"/>
          <w:color w:val="auto"/>
        </w:rPr>
        <w:t>Reference Rate Reform (Topic 848): Scope</w:t>
      </w:r>
      <w:r>
        <w:rPr>
          <w:rFonts w:ascii="Arial" w:cs="Arial" w:eastAsia="Arial" w:hAnsi="Arial"/>
          <w:sz w:val="18"/>
          <w:szCs w:val="18"/>
          <w:color w:val="auto"/>
        </w:rPr>
        <w:t>. Together, these ASUs provide optional expedients and exceptions for a limited period of time to ease the potential burden in accounting for, or recognizing the effects of, reference rate reform on financial reporting under GAAP.</w:t>
      </w:r>
    </w:p>
    <w:p>
      <w:pPr>
        <w:spacing w:after="0" w:line="120"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On November 15, 2022, we entered into a Third Amended and Restated Credit Agreement (the “Amended Credit Agreement”). The Amended Credit Agreement amends and restates, in its entirety, the Second Amended and Restated Credit Agreement, including amending</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the base interest rate from LIBOR to Term SOFR. Consequently, we updated the reference rate within our existing interest rate swap agreements from one month LIBOR to one month Term SOFR. As a result, in the fourth quarter of 2022, we adopted Accounting Standard</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Codification ("ASC") 848</w:t>
      </w:r>
      <w:r>
        <w:rPr>
          <w:rFonts w:ascii="Arial" w:cs="Arial" w:eastAsia="Arial" w:hAnsi="Arial"/>
          <w:sz w:val="18"/>
          <w:szCs w:val="18"/>
          <w:i w:val="1"/>
          <w:iCs w:val="1"/>
          <w:color w:val="auto"/>
        </w:rPr>
        <w:t>, Reference Rate Reform,</w:t>
      </w:r>
      <w:r>
        <w:rPr>
          <w:rFonts w:ascii="Arial" w:cs="Arial" w:eastAsia="Arial" w:hAnsi="Arial"/>
          <w:sz w:val="18"/>
          <w:szCs w:val="18"/>
          <w:color w:val="auto"/>
        </w:rPr>
        <w:t xml:space="preserve"> which had no impact on our consolidated financial statements. Refer to Note 7 "Financing Arrangements" and Note 12 "Derivative Instruments and Hedging Activity" for further discussion of the Amended Credit Agreement and our interest rate swap agreements.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Divestitures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AIMDATA, LLC</w:t>
      </w:r>
    </w:p>
    <w:p>
      <w:pPr>
        <w:spacing w:after="0" w:line="18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January 18, 2022, we completed the acquisition of AIMDATA, LLC ("AIMDATA"), an advisory and implementation consulting services firm focused on strategy, technology and business transformation. The results of operations of AIMDATA are included within our consolidated financial statements as of the acquisition date and allocated among our three operating industries, which are our reportable segments, based on the engagements delivered by the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Evolution, LLC</w:t>
      </w:r>
    </w:p>
    <w:p>
      <w:pPr>
        <w:spacing w:after="0" w:line="18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Effective December 31, 2022, we completed the acquisition of Customer Evolution, LLC ("Customer Evolution"), a healthcare advisory and technology implementation consulting services firm. The results of operations of Customer Evolution will be included in our consolidated financial statements and results of operations of our Healthcare segment beginning January 1, 2023.</w:t>
      </w:r>
    </w:p>
    <w:p>
      <w:pPr>
        <w:spacing w:after="0" w:line="148"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acquisitions of AIMDATA and Customer Evolution are not significant to our consolidated financial statements individually or in the aggregate as of and for the year ended December 31, 2022.</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Unico Solution, Inc.</w:t>
      </w:r>
    </w:p>
    <w:p>
      <w:pPr>
        <w:spacing w:after="0" w:line="18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February 1, 2021, we completed the acquisition of Unico Solution, Inc. (“Unico Solutions”), a data strategy and technology consulting firm focused on helping clients enhance the use of their data to speed business transformation and accelerate cloud adoption. The acquisition expands our cloud-based technology offerings within our Digital capability. The results of operations of Unico Solutions are included in our consolidated financial statements from the date of acquisition. The results of operations were initially recognized within our legacy Business Advisory segment and subsequently allocated among our three operating industries, which are our reportable segments, based on the engagements delivered by the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Bad Rabbit, Inc.</w:t>
      </w:r>
    </w:p>
    <w:p>
      <w:pPr>
        <w:spacing w:after="0" w:line="18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On October 1, 2021, we completed the acquisition of the research administration software services team of Bad Rabbit, Inc. (“Bad Rabbit”). The results of operations of Bad Rabbit are included in our consolidated financial statements and results of operations of our Education segment from the date of acquisition.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Whiteboard Communications Ltd.</w:t>
      </w:r>
    </w:p>
    <w:p>
      <w:pPr>
        <w:spacing w:after="0" w:line="18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December 1, 2021, we completed the acquisition of Whiteboard Communications Ltd. (“Whiteboard”), a student enrollment advisory firm that helps colleges and universities with recruitment initiatives and financial aid strategies. The results of operations of Whiteboard are included in our consolidated financial statements and results of operations of our Education segment from the date of acquisition.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Perception Health, Inc.</w:t>
      </w:r>
    </w:p>
    <w:p>
      <w:pPr>
        <w:spacing w:after="0" w:line="189"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On December 31, 2021, we completed the acquisition of Perception Health, Inc. (“Perception Health”), a healthcare predictive analytics company focused on bringing data sources together for improved clinical and business decision-making. The results of operations of Perception Health are included in our consolidated financial statements and results of operations of our Healthcare segment beginning January, 1, 2022.</w:t>
      </w:r>
    </w:p>
    <w:p>
      <w:pPr>
        <w:spacing w:after="0" w:line="15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acquisitions of Unico Solutions, Bad Rabbit, Whiteboard and Perception Health are not significant to our consolidated financial statements individually or in the aggregate as of and for the year ended December 31, 2021. The finalized measurement of assets acquired and liabilities assumed in the Whiteboard and Perception Health acquisitions were completed in the first quarter of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B3i Analytics, LLC</w:t>
      </w:r>
    </w:p>
    <w:p>
      <w:pPr>
        <w:spacing w:after="0" w:line="189"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On August 1, 2020, we completed the acquisition of B3i Analytics, LLC (“B3i Analytics”), a software firm that provides a software as a solution (“SaaS”) application to leverage internal and external data to help higher education institutions forecast research revenue. The results of operations of B3i Analytics are included in our consolidated financial statements and results of operations of our Education segment from the date of acquisition.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ForceIQ, Inc.</w:t>
      </w:r>
    </w:p>
    <w:p>
      <w:pPr>
        <w:spacing w:after="0" w:line="18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On November 1, 2020, we completed the acquisition of ForceIQ, Inc. (“ForceIQ”), a Salesforce Industries partner focused on helping clients drive digital transformation and innovation at scale powered by the cloud. The acquisition expands our cloud-based technology offerings within our Digital capability. The results of operations of ForceIQ are included in our consolidated financial statements from the date of acquisition. The results of operations were initially recognized within our legacy Business Advisory segment and subsequently allocated among our three operating industries, which are our reportable segments, based on the engagements delivered by the business.</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acquisitions of B3i Analytics and ForceIQ are not significant to our consolidated financial statements individually or in the aggregate as of and for the year ended December 31, 2020.</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 Sciences</w:t>
      </w:r>
    </w:p>
    <w:p>
      <w:pPr>
        <w:spacing w:after="0" w:line="18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On November 1, 2021, we completed the divestiture of our Life Sciences business, a reporting unit within our legacy Business Advisory segment to a third-party. In connection with the sale, we recorded a $31.5 million pre-tax gain which is included in other income, net on our consolidated statement of operations. The Life Sciences business was not significant to our consolidated financial statements and did not qualify as a discontinued operation for reporting under GAAP. For the ten months ended October 31, 2021, this business generated $16.7 million of revenues.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U.K. Life Sciences Drug Safety Practice</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December 30, 2020, we sold our U.K. life sciences drug safety business that was part of the legacy Life Sciences reporting unit to former employees. In connection with the sale, we recorded a $1.5 million loss which is included in other income, net on our consolidated statement of operations. The U.K. life sciences drug safety practice was not significant to our consolidated financial statements and did not meet the criteria for reporting separately as discontinued operations. In 2020, this business generated $2.3 million of revenues.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9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table below sets forth the changes in the carrying amount of goodwill by reportable segment for the years ended December 31, 2022 and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Healthcare</w:t>
            </w:r>
          </w:p>
        </w:tc>
        <w:tc>
          <w:tcPr>
            <w:tcW w:w="160" w:type="dxa"/>
            <w:vAlign w:val="bottom"/>
          </w:tcPr>
          <w:p>
            <w:pPr>
              <w:spacing w:after="0"/>
              <w:rPr>
                <w:sz w:val="23"/>
                <w:szCs w:val="23"/>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Education</w:t>
            </w:r>
          </w:p>
        </w:tc>
        <w:tc>
          <w:tcPr>
            <w:tcW w:w="1420" w:type="dxa"/>
            <w:vAlign w:val="bottom"/>
            <w:gridSpan w:val="3"/>
          </w:tcPr>
          <w:p>
            <w:pPr>
              <w:ind w:left="60"/>
              <w:spacing w:after="0"/>
              <w:rPr>
                <w:sz w:val="20"/>
                <w:szCs w:val="20"/>
                <w:color w:val="auto"/>
              </w:rPr>
            </w:pPr>
            <w:r>
              <w:rPr>
                <w:rFonts w:ascii="Arial" w:cs="Arial" w:eastAsia="Arial" w:hAnsi="Arial"/>
                <w:sz w:val="18"/>
                <w:szCs w:val="18"/>
                <w:b w:val="1"/>
                <w:bCs w:val="1"/>
                <w:color w:val="auto"/>
              </w:rPr>
              <w:t>Commercial</w:t>
            </w:r>
            <w:r>
              <w:rPr>
                <w:rFonts w:ascii="Arial" w:cs="Arial" w:eastAsia="Arial" w:hAnsi="Arial"/>
                <w:sz w:val="23"/>
                <w:szCs w:val="23"/>
                <w:b w:val="1"/>
                <w:bCs w:val="1"/>
                <w:color w:val="auto"/>
                <w:vertAlign w:val="superscript"/>
              </w:rPr>
              <w:t>(1)</w:t>
            </w:r>
          </w:p>
        </w:tc>
        <w:tc>
          <w:tcPr>
            <w:tcW w:w="300" w:type="dxa"/>
            <w:vAlign w:val="bottom"/>
          </w:tcPr>
          <w:p>
            <w:pPr>
              <w:spacing w:after="0"/>
              <w:rPr>
                <w:sz w:val="23"/>
                <w:szCs w:val="23"/>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0"/>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636,810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104,384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308,935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1,050,129</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(455,892)</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Goodwill, net as of December 31, 2020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428,729</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104,384</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61,124</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594,237</w:t>
            </w:r>
          </w:p>
        </w:tc>
      </w:tr>
      <w:tr>
        <w:trPr>
          <w:trHeight w:val="175"/>
        </w:trPr>
        <w:tc>
          <w:tcPr>
            <w:tcW w:w="5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Goodwill recorded in connection with a business combination</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56"/>
        </w:trPr>
        <w:tc>
          <w:tcPr>
            <w:tcW w:w="5120" w:type="dxa"/>
            <w:vAlign w:val="bottom"/>
            <w:tcBorders>
              <w:bottom w:val="single" w:sz="8" w:color="CCEEFF"/>
            </w:tcBorders>
            <w:shd w:val="clear" w:color="auto" w:fill="CCEEFF"/>
          </w:tcPr>
          <w:p>
            <w:pPr>
              <w:ind w:left="20"/>
              <w:spacing w:after="0" w:line="122" w:lineRule="exact"/>
              <w:rPr>
                <w:sz w:val="20"/>
                <w:szCs w:val="20"/>
                <w:color w:val="auto"/>
              </w:rPr>
            </w:pPr>
            <w:r>
              <w:rPr>
                <w:rFonts w:ascii="Arial" w:cs="Arial" w:eastAsia="Arial" w:hAnsi="Arial"/>
                <w:sz w:val="12"/>
                <w:szCs w:val="12"/>
                <w:color w:val="auto"/>
              </w:rPr>
              <w:t>(2)</w:t>
            </w:r>
          </w:p>
        </w:tc>
        <w:tc>
          <w:tcPr>
            <w:tcW w:w="1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6,141</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17,186</w:t>
            </w:r>
          </w:p>
        </w:tc>
        <w:tc>
          <w:tcPr>
            <w:tcW w:w="1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3,315</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26,642</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642,951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1,076,771</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Accumulated impairment losses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(208,081)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(247,811)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(455,892)</w:t>
            </w: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net as of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434,870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121,570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620,879</w:t>
            </w:r>
          </w:p>
        </w:tc>
      </w:tr>
      <w:tr>
        <w:trPr>
          <w:trHeight w:val="230"/>
        </w:trPr>
        <w:tc>
          <w:tcPr>
            <w:tcW w:w="5120" w:type="dxa"/>
            <w:vAlign w:val="bottom"/>
          </w:tcPr>
          <w:p>
            <w:pPr>
              <w:ind w:left="20"/>
              <w:spacing w:after="0" w:line="230" w:lineRule="exact"/>
              <w:rPr>
                <w:sz w:val="20"/>
                <w:szCs w:val="20"/>
                <w:color w:val="auto"/>
              </w:rPr>
            </w:pPr>
            <w:r>
              <w:rPr>
                <w:rFonts w:ascii="Arial" w:cs="Arial" w:eastAsia="Arial" w:hAnsi="Arial"/>
                <w:sz w:val="18"/>
                <w:szCs w:val="18"/>
                <w:color w:val="auto"/>
              </w:rPr>
              <w:t>Goodwill reallocation, net</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5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Goodwill recorded in connection with business combinations</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55"/>
        </w:trPr>
        <w:tc>
          <w:tcPr>
            <w:tcW w:w="5120" w:type="dxa"/>
            <w:vAlign w:val="bottom"/>
            <w:tcBorders>
              <w:bottom w:val="single" w:sz="8" w:color="CCEEFF"/>
            </w:tcBorders>
            <w:shd w:val="clear" w:color="auto" w:fill="CCEEFF"/>
          </w:tcPr>
          <w:p>
            <w:pPr>
              <w:ind w:left="20"/>
              <w:spacing w:after="0" w:line="122" w:lineRule="exact"/>
              <w:rPr>
                <w:sz w:val="20"/>
                <w:szCs w:val="20"/>
                <w:color w:val="auto"/>
              </w:rPr>
            </w:pPr>
            <w:r>
              <w:rPr>
                <w:rFonts w:ascii="Arial" w:cs="Arial" w:eastAsia="Arial" w:hAnsi="Arial"/>
                <w:sz w:val="12"/>
                <w:szCs w:val="12"/>
                <w:color w:val="auto"/>
              </w:rPr>
              <w:t>(2)</w:t>
            </w:r>
          </w:p>
        </w:tc>
        <w:tc>
          <w:tcPr>
            <w:tcW w:w="1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2,082</w:t>
            </w:r>
          </w:p>
        </w:tc>
        <w:tc>
          <w:tcPr>
            <w:tcW w:w="1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4,087</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Balance as of December 31, 2022:</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644,238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1,080,858</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(455,892)</w:t>
            </w: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net as of December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624,966</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right="140" w:hanging="332"/>
        <w:spacing w:after="0" w:line="254" w:lineRule="auto"/>
        <w:tabs>
          <w:tab w:leader="none" w:pos="43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balances shown prior to January 1, 2022 within the Commercial segment related to our Business Advisory segment prior to the modification of our operating model. Effective January 1, 2022, we reallocated a portion of the goodwill, net of accumulated impairment losses within our Business Advisory segment to our Healthcare and Education segments. The remaining goodwill, net of accumulated impairment losses was allocated to our new Commercial segment.</w:t>
      </w:r>
    </w:p>
    <w:p>
      <w:pPr>
        <w:spacing w:after="0" w:line="55" w:lineRule="exact"/>
        <w:rPr>
          <w:rFonts w:ascii="Arial" w:cs="Arial" w:eastAsia="Arial" w:hAnsi="Arial"/>
          <w:sz w:val="18"/>
          <w:szCs w:val="18"/>
          <w:color w:val="auto"/>
        </w:rPr>
      </w:pPr>
    </w:p>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Note 3 “Acquisitions and Divestitures” for additional information on business combinations completed in 2022, 2021 and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2022 Goodwill Reallocation and Goodwill Impairment Test</w:t>
      </w:r>
    </w:p>
    <w:p>
      <w:pPr>
        <w:spacing w:after="0" w:line="19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Effective January 1, 2022, we modified our operating model to expand and more deeply integrate our industry expertise with our digital, strategic and financial advisory capabilities. 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w:t>
      </w:r>
    </w:p>
    <w:p>
      <w:pPr>
        <w:sectPr>
          <w:pgSz w:w="11900" w:h="16838" w:orient="portrait"/>
          <w:cols w:equalWidth="0" w:num="1">
            <w:col w:w="11180"/>
          </w:cols>
          <w:pgMar w:left="320" w:top="140" w:right="39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energy and utilities. In the new 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w:t>
      </w:r>
    </w:p>
    <w:p>
      <w:pPr>
        <w:spacing w:after="0" w:line="15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three reportable segments of Healthcare, Education and Commercial are also our reporting units for goodwill impairment testing purposes. As a result of the reorganization, we reallocated the goodwill balances of our historical reporting units to our new reporting units based on the relative estimated fair values of each component of the historical reporting units to be allocated to the new reporting units. Additionally, we performed a goodwill impairment test on the goodwill balances of each of our reporting units as of January 1, 2022 by comparing the fair value of the reporting unit to its carrying value, including the reallocated goodwill. Based on the results of the goodwill impairment test, we determined the fair values of the Healthcare, Education, and Commercial reporting units exceeded their carrying values by 37%, 199%, and 105%, respectively. As such, we concluded that there was no indication of goodwill impairment for all three reporting units as of January 1, 2022.</w:t>
      </w:r>
    </w:p>
    <w:p>
      <w:pPr>
        <w:spacing w:after="0" w:line="15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relied on the income approach to estimate the fair value of the reporting units for both the goodwill reallocation and the goodwill impairment test. The income approach utilized a discounted cash flow analysis, which involved estimating the expected after-tax cash flows that will be generated by each business and then discounting those cash flows to present value, reflecting the relevant risks associated with each reporting unit and the time value of money. This approach requires the use of significant estimates and assumptions, including forecasted revenue growth rates, forecasted EBITDA margins, and discount rates that reflect the risk inherent in the future cash flows. In estimating future cash flows, we relied on internally generated ten-year forecasts. Our forecasts are based on historical experience, current backlog, expected market demand, and other industry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Annual Goodwill Impairment Test</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Pursuant to our policy, we performed our annual goodwill impairment test as of November 30, 2022 for our three reporting units: Healthcare, Education, and Commercial. We performed a qualitative assessment over all reporting units to determine if it was more likely than not the respective fair values of these reporting units were less than their carrying amounts, including goodwill.</w:t>
      </w:r>
    </w:p>
    <w:p>
      <w:pPr>
        <w:spacing w:after="0" w:line="1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For our qualitative assessment, we considered the most recent quantitative analysis performed for each reporting unit, which was as of January 1, 2022, including the key assumptions used within that analysis, the indicated fair values, and the amount by which those fair values exceeded their carrying amounts. One of the key assumptions used within the prior quantitative analysis was our internal financial projections; therefore, we considered the actual performance of each reporting unit during 2022 compared to the internal financial projections used, as well as specific outlooks for each reporting unit based on our most recent internal financial projections. We also reviewed the current carrying value of each reporting unit in comparison to the carrying values as of the prior quantitative analysis. In addition, we considered various factors, including macroeconomic conditions, relevant industry and market trends for each reporting unit, and other entity-specific events, that could indicate a potential change in the fair value of our reporting units or the composition of their carrying values. Based on our assessments, we determined that it was more likely than not that the fair values for each of our reporting units exceeded their respective carrying amounts. As such, the goodwill for our reporting units was not considered impaired as of November 30, 2022, and a quantitative goodwill impairment analysis was not necessary.</w:t>
      </w:r>
    </w:p>
    <w:p>
      <w:pPr>
        <w:spacing w:after="0" w:line="15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Further, we evaluated whether any events have occurred or any circumstances have changed since November 30, 2022 that would indicate goodwill may have become impaired since our annual impairment test. Based on our evaluation as of December 31, 2022, we determined that no indications of impairment have arisen since our annual goodwill impairment test.</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non-cash goodwill impairment charges.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2020 Goodwill Impairment Charges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worldwide spread of the COVID-19 pandemic in the first quarter of 2020 created significant volatility, uncertainty and disruption to the global economy. From the onset of the COVID-19 pandemic, we closely monitored the impact it could have on all aspects of our business, including how we expect it to negatively impact our clients, employees and business partners. While the COVID-19 pandemic did not have a significant impact on our consolidated revenues in the first quarter of 2020, we expected it to have an unfavorable impact on sales, increase uncertainty in the backlog and negatively impact full year 2020 results. The services provided by our Strategy and Innovation and Life Sciences reporting units within our legacy Business Advisory segment focus on strategic solutions for healthy, well-capitalized companies to identify new growth opportunities, which may be considered by our clients to be more discretionary in nature, and the duration of the projects within these practices are typically short-term. Therefore, at the onset of the COVID-19 pandemic in the U.S. and due to the uncertainty</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caused by the pandemic, we were cautious about near-term results for these two reporting units. Based on our internal projections and the preparation of our financial statements for the quarter ended March 31, 2020, and considering the expected decrease in demand due to the COVID-19 pandemic, during the first quarter of 2020 we believed it was more likely than not that the fair value of these two reporting units no longer exceeded their carrying values and performed an interim impairment test on both reporting units as of March 31, 2020.</w:t>
      </w:r>
    </w:p>
    <w:p>
      <w:pPr>
        <w:spacing w:after="0" w:line="1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goodwill impairment test was performed by comparing the fair value of each of the Strategy and Innovation and Life Sciences reporting units with its respective carrying value and recognizing an impairment charge for the amount by which the carrying value exceeded the fair value. To estimate the fair value of each reporting unit, we relied on a combination of the income approach and the market approach with a fifty-fifty weighting. Based on the estimated fair values of the Strategy and Innovation and Life Sciences reporting units, we recorded non-cash pretax goodwill impairment charges of $49.9 million and $9.9 million, respectively, in the first quarter of 2020. The $49.9 million non-cash pretax charge related to the Strategy and Innovation reporting unit reduced the goodwill balance of the reporting unit to $37.5 million. The $9.9 million non-cash pretax charge related to the Life Sciences reporting unit reduced the goodwill balance of the reporting unit to zero.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2022 and 2021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5"/>
          </w:tcPr>
          <w:p>
            <w:pPr>
              <w:ind w:left="600"/>
              <w:spacing w:after="0"/>
              <w:rPr>
                <w:sz w:val="20"/>
                <w:szCs w:val="20"/>
                <w:color w:val="auto"/>
              </w:rPr>
            </w:pPr>
            <w:r>
              <w:rPr>
                <w:rFonts w:ascii="Arial" w:cs="Arial" w:eastAsia="Arial" w:hAnsi="Arial"/>
                <w:sz w:val="18"/>
                <w:szCs w:val="18"/>
                <w:b w:val="1"/>
                <w:bCs w:val="1"/>
                <w:color w:val="auto"/>
              </w:rPr>
              <w:t>As of December 31,</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Useful Life</w:t>
            </w:r>
          </w:p>
        </w:tc>
        <w:tc>
          <w:tcPr>
            <w:tcW w:w="240" w:type="dxa"/>
            <w:vAlign w:val="bottom"/>
          </w:tcPr>
          <w:p>
            <w:pPr>
              <w:spacing w:after="0"/>
              <w:rPr>
                <w:sz w:val="14"/>
                <w:szCs w:val="14"/>
                <w:color w:val="auto"/>
              </w:rPr>
            </w:pPr>
          </w:p>
        </w:tc>
        <w:tc>
          <w:tcPr>
            <w:tcW w:w="1360" w:type="dxa"/>
            <w:vAlign w:val="bottom"/>
            <w:gridSpan w:val="2"/>
          </w:tcPr>
          <w:p>
            <w:pPr>
              <w:jc w:val="center"/>
              <w:ind w:right="360"/>
              <w:spacing w:after="0" w:line="169" w:lineRule="exact"/>
              <w:rPr>
                <w:sz w:val="20"/>
                <w:szCs w:val="20"/>
                <w:color w:val="auto"/>
              </w:rPr>
            </w:pPr>
            <w:r>
              <w:rPr>
                <w:rFonts w:ascii="Arial" w:cs="Arial" w:eastAsia="Arial" w:hAnsi="Arial"/>
                <w:sz w:val="18"/>
                <w:szCs w:val="18"/>
                <w:b w:val="1"/>
                <w:bCs w:val="1"/>
                <w:color w:val="auto"/>
                <w:w w:val="99"/>
              </w:rPr>
              <w:t>Gross</w:t>
            </w:r>
          </w:p>
        </w:tc>
        <w:tc>
          <w:tcPr>
            <w:tcW w:w="180" w:type="dxa"/>
            <w:vAlign w:val="bottom"/>
          </w:tcPr>
          <w:p>
            <w:pPr>
              <w:spacing w:after="0"/>
              <w:rPr>
                <w:sz w:val="14"/>
                <w:szCs w:val="14"/>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4"/>
                <w:szCs w:val="14"/>
                <w:color w:val="auto"/>
              </w:rPr>
            </w:pPr>
          </w:p>
        </w:tc>
        <w:tc>
          <w:tcPr>
            <w:tcW w:w="1380" w:type="dxa"/>
            <w:vAlign w:val="bottom"/>
            <w:gridSpan w:val="2"/>
          </w:tcPr>
          <w:p>
            <w:pPr>
              <w:jc w:val="center"/>
              <w:ind w:right="380"/>
              <w:spacing w:after="0" w:line="169" w:lineRule="exact"/>
              <w:rPr>
                <w:sz w:val="20"/>
                <w:szCs w:val="20"/>
                <w:color w:val="auto"/>
              </w:rPr>
            </w:pPr>
            <w:r>
              <w:rPr>
                <w:rFonts w:ascii="Arial" w:cs="Arial" w:eastAsia="Arial" w:hAnsi="Arial"/>
                <w:sz w:val="18"/>
                <w:szCs w:val="18"/>
                <w:b w:val="1"/>
                <w:bCs w:val="1"/>
                <w:color w:val="auto"/>
                <w:w w:val="99"/>
              </w:rPr>
              <w:t>Gross</w:t>
            </w:r>
          </w:p>
        </w:tc>
        <w:tc>
          <w:tcPr>
            <w:tcW w:w="180" w:type="dxa"/>
            <w:vAlign w:val="bottom"/>
          </w:tcPr>
          <w:p>
            <w:pPr>
              <w:spacing w:after="0"/>
              <w:rPr>
                <w:sz w:val="14"/>
                <w:szCs w:val="14"/>
                <w:color w:val="auto"/>
              </w:rPr>
            </w:pPr>
          </w:p>
        </w:tc>
        <w:tc>
          <w:tcPr>
            <w:tcW w:w="13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9"/>
              </w:rPr>
              <w:t>Carrying</w:t>
            </w:r>
          </w:p>
        </w:tc>
        <w:tc>
          <w:tcPr>
            <w:tcW w:w="1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9"/>
              </w:rPr>
              <w:t>Carrying</w:t>
            </w:r>
          </w:p>
        </w:tc>
        <w:tc>
          <w:tcPr>
            <w:tcW w:w="1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3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 Years</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225"/>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5 to 13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53,421</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Technology and software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rPr>
              <w:t>2 to 5</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Non-competition agreements</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rPr>
              <w:t>2 to 5</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contracts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3320" w:type="dxa"/>
            <w:vAlign w:val="bottom"/>
          </w:tcPr>
          <w:p>
            <w:pPr>
              <w:ind w:left="360"/>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94,833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71,441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97,518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65,624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Intangible assets amortization expense was $ 11.2 million, $ 9.3 million, and $12.7 million for the years ended December 31, 2022, 2021, and 2020, respectively. The table below sets forth the estimated annual amortization expense for each of the five succeeding years for the intangible assets recorded as of December 31,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80" w:type="dxa"/>
            <w:vAlign w:val="bottom"/>
            <w:gridSpan w:val="2"/>
            <w:vMerge w:val="restart"/>
          </w:tcPr>
          <w:p>
            <w:pPr>
              <w:ind w:left="3240"/>
              <w:spacing w:after="0"/>
              <w:rPr>
                <w:sz w:val="20"/>
                <w:szCs w:val="20"/>
                <w:color w:val="auto"/>
              </w:rPr>
            </w:pPr>
            <w:r>
              <w:rPr>
                <w:rFonts w:ascii="Arial" w:cs="Arial" w:eastAsia="Arial" w:hAnsi="Arial"/>
                <w:sz w:val="18"/>
                <w:szCs w:val="18"/>
                <w:b w:val="1"/>
                <w:bCs w:val="1"/>
                <w:color w:val="auto"/>
              </w:rPr>
              <w:t>Year Ending December 31,</w:t>
            </w:r>
          </w:p>
        </w:tc>
        <w:tc>
          <w:tcPr>
            <w:tcW w:w="180" w:type="dxa"/>
            <w:vAlign w:val="bottom"/>
          </w:tcPr>
          <w:p>
            <w:pPr>
              <w:spacing w:after="0"/>
              <w:rPr>
                <w:sz w:val="18"/>
                <w:szCs w:val="18"/>
                <w:color w:val="auto"/>
              </w:rPr>
            </w:pPr>
          </w:p>
        </w:tc>
        <w:tc>
          <w:tcPr>
            <w:tcW w:w="2180" w:type="dxa"/>
            <w:vAlign w:val="bottom"/>
          </w:tcPr>
          <w:p>
            <w:pPr>
              <w:jc w:val="right"/>
              <w:ind w:right="69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39"/>
        </w:trPr>
        <w:tc>
          <w:tcPr>
            <w:tcW w:w="88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jc w:val="right"/>
              <w:ind w:right="150"/>
              <w:spacing w:after="0"/>
              <w:rPr>
                <w:sz w:val="20"/>
                <w:szCs w:val="20"/>
                <w:color w:val="auto"/>
              </w:rPr>
            </w:pPr>
            <w:r>
              <w:rPr>
                <w:rFonts w:ascii="Arial" w:cs="Arial" w:eastAsia="Arial" w:hAnsi="Arial"/>
                <w:sz w:val="18"/>
                <w:szCs w:val="18"/>
                <w:b w:val="1"/>
                <w:bCs w:val="1"/>
                <w:color w:val="auto"/>
              </w:rPr>
              <w:t>Amortization Expense</w:t>
            </w:r>
          </w:p>
        </w:tc>
        <w:tc>
          <w:tcPr>
            <w:tcW w:w="0" w:type="dxa"/>
            <w:vAlign w:val="bottom"/>
          </w:tcPr>
          <w:p>
            <w:pPr>
              <w:spacing w:after="0"/>
              <w:rPr>
                <w:sz w:val="1"/>
                <w:szCs w:val="1"/>
                <w:color w:val="auto"/>
              </w:rPr>
            </w:pPr>
          </w:p>
        </w:tc>
      </w:tr>
      <w:tr>
        <w:trPr>
          <w:trHeight w:val="223"/>
        </w:trPr>
        <w:tc>
          <w:tcPr>
            <w:tcW w:w="8740" w:type="dxa"/>
            <w:vAlign w:val="bottom"/>
            <w:tcBorders>
              <w:top w:val="single" w:sz="8" w:color="auto"/>
            </w:tcBorders>
            <w:shd w:val="clear" w:color="auto" w:fill="CCEEFF"/>
          </w:tcPr>
          <w:p>
            <w:pPr>
              <w:jc w:val="right"/>
              <w:ind w:right="8230"/>
              <w:spacing w:after="0"/>
              <w:rPr>
                <w:sz w:val="20"/>
                <w:szCs w:val="20"/>
                <w:color w:val="auto"/>
              </w:rPr>
            </w:pPr>
            <w:r>
              <w:rPr>
                <w:rFonts w:ascii="Arial" w:cs="Arial" w:eastAsia="Arial" w:hAnsi="Arial"/>
                <w:sz w:val="18"/>
                <w:szCs w:val="18"/>
                <w:color w:val="auto"/>
                <w:w w:val="99"/>
              </w:rPr>
              <w:t>2023</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8,122</w:t>
            </w:r>
          </w:p>
        </w:tc>
        <w:tc>
          <w:tcPr>
            <w:tcW w:w="0" w:type="dxa"/>
            <w:vAlign w:val="bottom"/>
          </w:tcPr>
          <w:p>
            <w:pPr>
              <w:spacing w:after="0"/>
              <w:rPr>
                <w:sz w:val="1"/>
                <w:szCs w:val="1"/>
                <w:color w:val="auto"/>
              </w:rPr>
            </w:pPr>
          </w:p>
        </w:tc>
      </w:tr>
      <w:tr>
        <w:trPr>
          <w:trHeight w:val="230"/>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2024</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30"/>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2026</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9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lease office space, data centers and certain equipment under operating leases expiring on various dates through 2029, with various renewal options that can extend the lease terms by one to ten years. Our operating leases include fixed payments plus, in some cases, scheduled base rent increases over the term of the lease. Certain leases require variable payments of real estate taxes, insurance and operating expenses. We exclude these variable payments from the measurements of our lease liabilities and expense them as incurred. We elected the practical expedient to combine lease and nonlease components. No lease agreements contain any residual value guarantees or</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material restrictive covenants. As of December 31, 2022, we have not entered into any material finance leases. We sublease certain office spaces to third parties resulting from restructuring activities in certain locations.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Impairment Charges</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Operating lease right-of-use (“ROU”) assets are reviewed for impairment whenever events or changes in circumstances indicate that the carrying amount of the asset group to which the operating lease ROU asset is assigned may not be recoverable. First, we test the asset group for recoverability by comparing the undiscounted cash flows of the asset group, which include expected future lease and nonlease payments under the lease agreement offset by expected sublease income, to the carrying amount of the asset group. If the first step of the long-lived asset impairment test concludes that the carrying amount of the asset group is not recoverable, we perform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we rely on a discounted cash flow approach using market participant assumptions of the expected cash flows and discount rate.</w:t>
      </w:r>
    </w:p>
    <w:p>
      <w:pPr>
        <w:spacing w:after="0" w:line="15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During the years ended December 31, 2022 and 2020, we recognized non-cash lease-related impairment charges of $0.2 million and $9.1 million, respectively. No lease-related impairment charges were recognized during 2021. The $0.2 million lease-related impairment charge recognized in 2022 resulted from updated sublease assumptions for our previously vacated office space in New York City, New York and was allocated to the operating lease ROU asset. See below for additional information on our 2020 lease impairment charges.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2020 Lease Impairment Charges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2020, we announced a restructuring plan to reduce operating costs to address the impact of the COVID-19 pandemic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our business. The restructuring plan provided for a reduction in certain leased office spaces which included a portion of our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 in Chicago, Illinois; the remaining portion of our Lake Oswego, Oregon office; our Boston, Massachusetts and Detroit,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Michigan offices; and portions of our Denver, Colorado, New York City, New York, and Pensacola, Florida offices. As a result, we recognized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$13.2 million of non-cash lease-related impairment charges, of which $9.1 million was allocated to the operating lease ROU assets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 million was allocated to the related fixed assets based on their relative carrying amounts. The $13.2 million of non-cash lease-related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impairment charges was recognized in restructuring charges on our consolidated statement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Note 11 “Restructuring Charges” for additional information on our restructuring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on our operating leases as of December 31, 2022 and 2021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34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Sheet</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2021</w:t>
            </w:r>
          </w:p>
        </w:tc>
      </w:tr>
      <w:tr>
        <w:trPr>
          <w:trHeight w:val="223"/>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35,311</w:t>
            </w:r>
          </w:p>
        </w:tc>
      </w:tr>
      <w:tr>
        <w:trPr>
          <w:trHeight w:val="270"/>
        </w:trPr>
        <w:tc>
          <w:tcPr>
            <w:tcW w:w="6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maturities of operating lease liabilities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r>
      <w:tr>
        <w:trPr>
          <w:trHeight w:val="230"/>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45,556</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54,313</w:t>
            </w:r>
          </w:p>
        </w:tc>
      </w:tr>
      <w:tr>
        <w:trPr>
          <w:trHeight w:val="248"/>
        </w:trPr>
        <w:tc>
          <w:tcPr>
            <w:tcW w:w="6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lease liabilities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2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spacing w:after="0"/>
              <w:rPr>
                <w:sz w:val="21"/>
                <w:szCs w:val="21"/>
                <w:color w:val="auto"/>
              </w:rPr>
            </w:pPr>
          </w:p>
        </w:tc>
      </w:tr>
      <w:tr>
        <w:trPr>
          <w:trHeight w:val="223"/>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Lease Cost</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2020</w:t>
            </w:r>
          </w:p>
        </w:tc>
      </w:tr>
      <w:tr>
        <w:trPr>
          <w:trHeight w:val="22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w:t>
            </w:r>
          </w:p>
        </w:tc>
      </w:tr>
      <w:tr>
        <w:trPr>
          <w:trHeight w:val="230"/>
        </w:trPr>
        <w:tc>
          <w:tcPr>
            <w:tcW w:w="45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Short-term leases </w:t>
            </w:r>
            <w:r>
              <w:rPr>
                <w:rFonts w:ascii="Arial" w:cs="Arial" w:eastAsia="Arial" w:hAnsi="Arial"/>
                <w:sz w:val="23"/>
                <w:szCs w:val="23"/>
                <w:color w:val="auto"/>
                <w:vertAlign w:val="superscript"/>
              </w:rPr>
              <w:t>(1)</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r>
      <w:tr>
        <w:trPr>
          <w:trHeight w:val="229"/>
        </w:trPr>
        <w:tc>
          <w:tcPr>
            <w:tcW w:w="4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Sublease income</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r>
      <w:tr>
        <w:trPr>
          <w:trHeight w:val="248"/>
        </w:trPr>
        <w:tc>
          <w:tcPr>
            <w:tcW w:w="4500" w:type="dxa"/>
            <w:vAlign w:val="bottom"/>
            <w:tcBorders>
              <w:bottom w:val="single" w:sz="8" w:color="CCEEFF"/>
            </w:tcBorders>
            <w:gridSpan w:val="2"/>
            <w:shd w:val="clear" w:color="auto" w:fill="CCEEFF"/>
          </w:tcPr>
          <w:p>
            <w:pPr>
              <w:ind w:left="220"/>
              <w:spacing w:after="0" w:line="223" w:lineRule="exact"/>
              <w:rPr>
                <w:sz w:val="20"/>
                <w:szCs w:val="20"/>
                <w:color w:val="auto"/>
              </w:rPr>
            </w:pPr>
            <w:r>
              <w:rPr>
                <w:rFonts w:ascii="Arial" w:cs="Arial" w:eastAsia="Arial" w:hAnsi="Arial"/>
                <w:sz w:val="18"/>
                <w:szCs w:val="18"/>
                <w:b w:val="1"/>
                <w:bCs w:val="1"/>
                <w:color w:val="auto"/>
              </w:rPr>
              <w:t xml:space="preserve">Net lease cost </w:t>
            </w:r>
            <w:r>
              <w:rPr>
                <w:rFonts w:ascii="Arial" w:cs="Arial" w:eastAsia="Arial" w:hAnsi="Arial"/>
                <w:sz w:val="23"/>
                <w:szCs w:val="23"/>
                <w:b w:val="1"/>
                <w:bCs w:val="1"/>
                <w:color w:val="auto"/>
                <w:vertAlign w:val="superscript"/>
              </w:rPr>
              <w:t>(2)(3)</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10,994</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variable lease costs related to short-term leases.</w:t>
      </w:r>
    </w:p>
    <w:p>
      <w:pPr>
        <w:spacing w:after="0" w:line="171" w:lineRule="exact"/>
        <w:rPr>
          <w:rFonts w:ascii="Arial" w:cs="Arial" w:eastAsia="Arial" w:hAnsi="Arial"/>
          <w:sz w:val="18"/>
          <w:szCs w:val="18"/>
          <w:color w:val="auto"/>
        </w:rPr>
      </w:pPr>
    </w:p>
    <w:p>
      <w:pPr>
        <w:ind w:left="340" w:right="20" w:hanging="332"/>
        <w:spacing w:after="0" w:line="256" w:lineRule="auto"/>
        <w:tabs>
          <w:tab w:leader="none" w:pos="371"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lease cost includes $2.0 million, $2.6 million and $0.3 million for the years ended December 31, 2022, 2021 and 2020, respectively, recorded as restructuring charges as they relate to vacated office spaces. See Note 11 “Restructuring Charges” for additional information on our vacated office spaces.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right="920" w:hanging="332"/>
        <w:spacing w:after="0" w:line="261" w:lineRule="auto"/>
        <w:tabs>
          <w:tab w:leader="none" w:pos="371"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Net lease cost includes $0.2 million for the year ended December 31, 2020 related to vacated office spaces directly related to discontinued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remaining expected lease payments under our operating leases as of December 31, 2022.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Future Lease Payments</w:t>
            </w:r>
          </w:p>
        </w:tc>
        <w:tc>
          <w:tcPr>
            <w:tcW w:w="220" w:type="dxa"/>
            <w:vAlign w:val="bottom"/>
          </w:tcPr>
          <w:p>
            <w:pPr>
              <w:spacing w:after="0"/>
              <w:rPr>
                <w:sz w:val="17"/>
                <w:szCs w:val="17"/>
                <w:color w:val="auto"/>
              </w:rPr>
            </w:pP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940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9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12,618</w:t>
            </w:r>
          </w:p>
        </w:tc>
        <w:tc>
          <w:tcPr>
            <w:tcW w:w="0" w:type="dxa"/>
            <w:vAlign w:val="bottom"/>
          </w:tcPr>
          <w:p>
            <w:pPr>
              <w:spacing w:after="0"/>
              <w:rPr>
                <w:sz w:val="1"/>
                <w:szCs w:val="1"/>
                <w:color w:val="auto"/>
              </w:rPr>
            </w:pP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12,039</w:t>
            </w: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11,728</w:t>
            </w:r>
          </w:p>
        </w:tc>
        <w:tc>
          <w:tcPr>
            <w:tcW w:w="0" w:type="dxa"/>
            <w:vAlign w:val="bottom"/>
          </w:tcPr>
          <w:p>
            <w:pPr>
              <w:spacing w:after="0"/>
              <w:rPr>
                <w:sz w:val="1"/>
                <w:szCs w:val="1"/>
                <w:color w:val="auto"/>
              </w:rPr>
            </w:pPr>
          </w:p>
        </w:tc>
      </w:tr>
      <w:tr>
        <w:trPr>
          <w:trHeight w:val="229"/>
        </w:trPr>
        <w:tc>
          <w:tcPr>
            <w:tcW w:w="930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10,941</w:t>
            </w: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7,825</w:t>
            </w:r>
          </w:p>
        </w:tc>
        <w:tc>
          <w:tcPr>
            <w:tcW w:w="0" w:type="dxa"/>
            <w:vAlign w:val="bottom"/>
          </w:tcPr>
          <w:p>
            <w:pPr>
              <w:spacing w:after="0"/>
              <w:rPr>
                <w:sz w:val="1"/>
                <w:szCs w:val="1"/>
                <w:color w:val="auto"/>
              </w:rPr>
            </w:pPr>
          </w:p>
        </w:tc>
      </w:tr>
      <w:tr>
        <w:trPr>
          <w:trHeight w:val="229"/>
        </w:trPr>
        <w:tc>
          <w:tcPr>
            <w:tcW w:w="9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7,211</w:t>
            </w:r>
          </w:p>
        </w:tc>
        <w:tc>
          <w:tcPr>
            <w:tcW w:w="0" w:type="dxa"/>
            <w:vAlign w:val="bottom"/>
          </w:tcPr>
          <w:p>
            <w:pPr>
              <w:spacing w:after="0"/>
              <w:rPr>
                <w:sz w:val="1"/>
                <w:szCs w:val="1"/>
                <w:color w:val="auto"/>
              </w:rPr>
            </w:pPr>
          </w:p>
        </w:tc>
      </w:tr>
      <w:tr>
        <w:trPr>
          <w:trHeight w:val="223"/>
        </w:trPr>
        <w:tc>
          <w:tcPr>
            <w:tcW w:w="9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lease payments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62,362</w:t>
            </w:r>
          </w:p>
        </w:tc>
        <w:tc>
          <w:tcPr>
            <w:tcW w:w="0" w:type="dxa"/>
            <w:vAlign w:val="bottom"/>
          </w:tcPr>
          <w:p>
            <w:pPr>
              <w:spacing w:after="0"/>
              <w:rPr>
                <w:sz w:val="1"/>
                <w:szCs w:val="1"/>
                <w:color w:val="auto"/>
              </w:rPr>
            </w:pPr>
          </w:p>
        </w:tc>
      </w:tr>
      <w:tr>
        <w:trPr>
          <w:trHeight w:val="229"/>
        </w:trPr>
        <w:tc>
          <w:tcPr>
            <w:tcW w:w="9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48"/>
        </w:trPr>
        <w:tc>
          <w:tcPr>
            <w:tcW w:w="9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operating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56,086</w:t>
            </w:r>
          </w:p>
        </w:tc>
        <w:tc>
          <w:tcPr>
            <w:tcW w:w="0" w:type="dxa"/>
            <w:vAlign w:val="bottom"/>
          </w:tcPr>
          <w:p>
            <w:pPr>
              <w:spacing w:after="0"/>
              <w:rPr>
                <w:sz w:val="1"/>
                <w:szCs w:val="1"/>
                <w:color w:val="auto"/>
              </w:rPr>
            </w:pP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8"/>
                <w:szCs w:val="18"/>
                <w:b w:val="1"/>
                <w:bCs w:val="1"/>
                <w:color w:val="auto"/>
              </w:rPr>
              <w:t>Year Ended December 31,</w:t>
            </w:r>
          </w:p>
        </w:tc>
        <w:tc>
          <w:tcPr>
            <w:tcW w:w="1480" w:type="dxa"/>
            <w:vAlign w:val="bottom"/>
            <w:tcBorders>
              <w:bottom w:val="single" w:sz="8" w:color="auto"/>
            </w:tcBorders>
          </w:tcPr>
          <w:p>
            <w:pPr>
              <w:spacing w:after="0"/>
              <w:rPr>
                <w:sz w:val="20"/>
                <w:szCs w:val="20"/>
                <w:color w:val="auto"/>
              </w:rPr>
            </w:pPr>
          </w:p>
        </w:tc>
      </w:tr>
      <w:tr>
        <w:trPr>
          <w:trHeight w:val="22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Information</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r>
      <w:tr>
        <w:trPr>
          <w:trHeight w:val="223"/>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operating lease liabilities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12,634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12,573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11,307</w:t>
            </w:r>
          </w:p>
        </w:tc>
      </w:tr>
      <w:tr>
        <w:trPr>
          <w:trHeight w:val="188"/>
        </w:trPr>
        <w:tc>
          <w:tcPr>
            <w:tcW w:w="53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Operating lease right-of-use assets obtained in exchange for</w:t>
            </w: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1,456</w:t>
            </w:r>
          </w:p>
        </w:tc>
      </w:tr>
      <w:tr>
        <w:trPr>
          <w:trHeight w:val="270"/>
        </w:trPr>
        <w:tc>
          <w:tcPr>
            <w:tcW w:w="5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3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Weighted average remaining lease term - operating leases</w:t>
            </w:r>
          </w:p>
        </w:tc>
        <w:tc>
          <w:tcPr>
            <w:tcW w:w="440" w:type="dxa"/>
            <w:vAlign w:val="bottom"/>
          </w:tcPr>
          <w:p>
            <w:pPr>
              <w:spacing w:after="0"/>
              <w:rPr>
                <w:sz w:val="19"/>
                <w:szCs w:val="19"/>
                <w:color w:val="auto"/>
              </w:rPr>
            </w:pPr>
          </w:p>
        </w:tc>
        <w:tc>
          <w:tcPr>
            <w:tcW w:w="1580" w:type="dxa"/>
            <w:vAlign w:val="bottom"/>
            <w:gridSpan w:val="2"/>
          </w:tcPr>
          <w:p>
            <w:pPr>
              <w:ind w:left="720"/>
              <w:spacing w:after="0"/>
              <w:rPr>
                <w:sz w:val="20"/>
                <w:szCs w:val="20"/>
                <w:color w:val="auto"/>
              </w:rPr>
            </w:pPr>
            <w:r>
              <w:rPr>
                <w:rFonts w:ascii="Arial" w:cs="Arial" w:eastAsia="Arial" w:hAnsi="Arial"/>
                <w:sz w:val="18"/>
                <w:szCs w:val="18"/>
                <w:color w:val="auto"/>
              </w:rPr>
              <w:t>5.3 years</w:t>
            </w:r>
          </w:p>
        </w:tc>
        <w:tc>
          <w:tcPr>
            <w:tcW w:w="420" w:type="dxa"/>
            <w:vAlign w:val="bottom"/>
          </w:tcPr>
          <w:p>
            <w:pPr>
              <w:spacing w:after="0"/>
              <w:rPr>
                <w:sz w:val="19"/>
                <w:szCs w:val="19"/>
                <w:color w:val="auto"/>
              </w:rPr>
            </w:pP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6.1 years</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 years</w:t>
            </w:r>
          </w:p>
        </w:tc>
      </w:tr>
      <w:tr>
        <w:trPr>
          <w:trHeight w:val="230"/>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Depreciation expense for property and equipment was $10.3 million, $ 11.0 million, and $12.2 million for the years ended December 31, 2022, 2021 and 2020, respectively. During the years ended December 2021 and 2020, we recognized an additional $0.4 million and $0.6 million, respectively, of accelerated depreciation expense for fixed assets related to vacated office spaces. There was no accelerated depreciation expense for fixed assets related to vacated office spaces during 2022. This accelerated depreciation expense is included as a component of restructuring charges. See Note 11 “Restructuring Charges” for additional information on our restructuring charges incurred in 2022, 2021 and 2020. Property and equipment, net at December 31, 2022 and 2021 consisted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8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related equipment, and software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33,682</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37,202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40,336</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Aircraft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6,800</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under construction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84,173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93,954</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(62,950)</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31,004</w:t>
            </w:r>
          </w:p>
        </w:tc>
      </w:tr>
      <w:tr>
        <w:trPr>
          <w:trHeight w:val="21"/>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2022, we completed the sale of the aircraft to a third-party. As a result of the sale, we no longer own any aircraft.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Financing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carrying amounts of our debt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5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credit facility</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w:t>
            </w: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Promissory note due 2024</w:t>
            </w:r>
          </w:p>
        </w:tc>
        <w:tc>
          <w:tcPr>
            <w:tcW w:w="4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2,780</w:t>
            </w:r>
          </w:p>
        </w:tc>
      </w:tr>
      <w:tr>
        <w:trPr>
          <w:trHeight w:val="223"/>
        </w:trPr>
        <w:tc>
          <w:tcPr>
            <w:tcW w:w="7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232,780</w:t>
            </w: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Current maturities of long-term debt</w:t>
            </w:r>
          </w:p>
        </w:tc>
        <w:tc>
          <w:tcPr>
            <w:tcW w:w="4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48"/>
        </w:trPr>
        <w:tc>
          <w:tcPr>
            <w:tcW w:w="7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net of current portion</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232,221</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Facility</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November 15, 2022, the Company and certain of the Company's subsidiaries entered into a Third Amended and Restated Credit Agreement (the “Amended Credit Agreement”). The Amended Credit Agreement amended and restated, in its entirety, the Second Amended and Restated Credit Agreement entered into as of March 31, 2015 (as amended and modified, the "Existing Credit Agreement"). The Amended Credit Agreement consists of a $ 600 million five-year senior secured revolving credit facility that becomes due and payable in full upon maturity on November 15, 2027. The Amended Credit Agreement provides the option to increase the revolving credit facility or establish term loan facilities in an aggregate amount up to $250 million, subject to customary conditions and the approval of any lender whose commitment would be increased, resulting in a maximum available principal amount under the Amended Credit Agreement of $850 million. The initial borrowings under the Amended Credit Agreement were used to refinance borrowings outstanding under the Existing Credit Agreement, and future borrowings under the Amended Credit Agreement may be used for working capital, capital expenditures, share repurchases, permitted acquisitions, and other general corporate purposes.</w:t>
      </w:r>
    </w:p>
    <w:p>
      <w:pPr>
        <w:spacing w:after="0" w:line="15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Fees and interest on borrowings vary based on our Consolidated Leverage Ratio (as defined in the Amended Credit Agreement). At our option, borrowings under the Amended Credit Agreement will bear interest at one, three or six month Term SOFR or an alternate base rate, in each case plus the applicable margin. The applicable margin will fluctuate between 1.125% per annum and 1.875% per annum, in the case of Term SOFR borrowings, or between 0.125% per annum and 0.875% per annum, in the case of base rate loans, based upon our Consolidated Leverage Ratio at such time.</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loans and obligations under the Amended Credit Agreement are secured pursuant to a Third Amended and Restated Security Agreement and a Third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 entitled to vote and 100% of the stock or other equity interests in each material first-tier foreign subsidiary not entitled to vote.</w:t>
      </w:r>
    </w:p>
    <w:p>
      <w:pPr>
        <w:spacing w:after="0" w:line="153"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1" w:lineRule="exact"/>
        <w:rPr>
          <w:sz w:val="20"/>
          <w:szCs w:val="20"/>
          <w:color w:val="auto"/>
        </w:rPr>
      </w:pPr>
    </w:p>
    <w:p>
      <w:pPr>
        <w:ind w:firstLine="8"/>
        <w:spacing w:after="0" w:line="251" w:lineRule="auto"/>
        <w:tabs>
          <w:tab w:leader="none" w:pos="2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December 31, 2022, we were in compliance with these financial covenants with a Consolidated Leverage Ratio of 1.92 to 1.00 and a Consolidated Interest Coverage Ratio of 14.04 to 1.00.</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Borrowings outstanding under the Amended Credit Agreement at December 31, 2022 totaled $290.0 million and carried a weighted average interest rate of 3.8%, including the effect of the interest rate swaps described in Note 12 “Derivative Instruments and Hedging Activity.” Borrowings outstanding under the Existing Credit Agreement at December 31, 2021 were $230.0 million and carried a weighted average interest rate of 2.7%, including the effect of the interest rate swaps in effect at that time. The borrowing capacity under the revolving credit facility is reduced by any outstanding borrowings under the revolving credit facility and outstanding letters of credit. At December 31, 2022, we had outstanding letters of credit totaling $0.7 million, which are used as security deposits for our office facilities. As of December 31, 2022, the unused borrowing capacity under the revolving credit facility was $309.3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due 2024</w:t>
      </w:r>
    </w:p>
    <w:p>
      <w:pPr>
        <w:spacing w:after="0" w:line="19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On June 30, 2017, in conjunction with our purchase of an aircraft related to the acquisition of Innosight, we assumed from the sellers of the aircraft, a promissory note with an outstanding principal balance of $5.1 million. In the first quarter of 2022, we completed the sale of the aircraft to a third-party and used a portion of the sale proceeds to pay the remaining principal and unpaid interest on the promissory note. Prior to the repayment of the promissory note, the principal balance of the promissory note was subject to scheduled monthly principal payments until the maturity date of March 1, 2024. Under the terms of the promissory note, we paid interest on the outstanding principal amount at a rate of one month LIBOR plus 1.97% per annum. At December 31, 2021, the outstanding principal amount of the promissory note was $2.8 million, and the aircraft had a carrying amount of $3.7 million. As a result of the sale, we recognized a gain of $1.0 million in the first quarter of 2022 and we no longer own any aircraft.</w:t>
      </w:r>
    </w:p>
    <w:p>
      <w:pPr>
        <w:spacing w:after="0" w:line="129" w:lineRule="exact"/>
        <w:rPr>
          <w:sz w:val="20"/>
          <w:szCs w:val="20"/>
          <w:color w:val="auto"/>
        </w:rPr>
      </w:pPr>
    </w:p>
    <w:p>
      <w:pPr>
        <w:ind w:right="9580" w:firstLine="8"/>
        <w:spacing w:after="0" w:line="451" w:lineRule="auto"/>
        <w:tabs>
          <w:tab w:leader="none" w:pos="2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Structure Preferred Stock</w:t>
      </w:r>
    </w:p>
    <w:p>
      <w:pPr>
        <w:ind w:right="160"/>
        <w:spacing w:after="0" w:line="253" w:lineRule="auto"/>
        <w:rPr>
          <w:sz w:val="20"/>
          <w:szCs w:val="20"/>
          <w:color w:val="auto"/>
        </w:rPr>
      </w:pPr>
      <w:r>
        <w:rPr>
          <w:rFonts w:ascii="Arial" w:cs="Arial" w:eastAsia="Arial" w:hAnsi="Arial"/>
          <w:sz w:val="18"/>
          <w:szCs w:val="18"/>
          <w:color w:val="auto"/>
        </w:rPr>
        <w:t>We are authorized to issue up to 50,000,000 shares of preferred stock. Our certificate of incorporation authorizes our board of directors, without any further stockholder action or approval, to issue these shares in one or more classes or series, to establish from time to time the number of shares to be included in each class or series, and to fix the rights, preferences and privileges of the shares of each wholly unissued class or series and any of its qualifications, limitations or restrictions. As of December 31, 2022 and 2021, no such preferred stock has been approved or issued.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authorized to issue up to 500,000,000 shares of common stock, par value $.01 per share. The holders of common stock are entitled to one vote for each share held of record on each matter submitted to a vote of stockholders. Subject to the rights and preferences of the holders of any series of preferred stock that may at the time be outstanding, holders of common stock are entitled to such dividends as our board of directors may declare. In the event of any liquidation, dissolution or winding-up of our affairs, after payment of all of our debts and liabilities and subject to the rights and preferences of the holders of any series of preferred stock that may at the time be outstanding, holders of common stock will be entitled to receive the distribution of any of our remaining assets.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2022, 2021 and 2020 we recognized revenues of $1.13 billion, $905.6 million, and $844.1 million,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respectively. Of the $1.13 billion recognized in 2022, we recognized revenues of $7.6 million from obligations satisfied, or partially satisfied,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prior periods, of which $5.3 million was primarily due to changes in the estimates of our variable consideration under performance-based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billing arrangements and $2.3 million was primarily due to the release of allowances on receivables from clients and unbilled services.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$905.6 million recognized in 2021, we recognized revenues of $22.9 million from obligations satisfied, or partially satisfied, in prior periods,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which $14.6 million was primarily due to changes in the estimates of our variable consideration under performance-based billing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arrangements and $8.3 million was primarily due to the release of allowances on receivables from clients and unbilled services.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$844.1 million recognized in 2020, we recognized revenues of $12.2 million from obligations satisfied, or partially satisfied, in prior periods,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which $7.5 million was primarily due to changes in the estimates of our variable consideration under performance-based billing arrangements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$4.7 million was primarily due to the release of allowances on receivables from clients and unbilled services.</w:t>
      </w:r>
    </w:p>
    <w:p>
      <w:pPr>
        <w:spacing w:after="0" w:line="17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As of December 31, 2022, we had $151.2 million of remaining performance obligations under engagements with original expected durations greater than one year. These remaining performance obligations exclude variable consideration which has been excluded from the total transaction price due to the constraint and performance obligations under time-and-expense engagements which are recognized in the amount invoiced. Of the $151.2 million of performance obligations, we expect to recognize approximately $78.7 million as revenue in 2023, $30.1 million in 2024, and the remaining $42.4 million thereafter. Actual revenue recognition could differ from these amounts as a result of changes in the estimated timing of work to be performed, adjustments to estimated variable consideration in performance-based arrangements, or other factors.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3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w:t>
      </w:r>
    </w:p>
    <w:p>
      <w:pPr>
        <w:spacing w:after="0" w:line="144" w:lineRule="exact"/>
        <w:rPr>
          <w:sz w:val="20"/>
          <w:szCs w:val="20"/>
          <w:color w:val="auto"/>
        </w:rPr>
      </w:pPr>
    </w:p>
    <w:p>
      <w:pPr>
        <w:ind w:right="380"/>
        <w:spacing w:after="0" w:line="252" w:lineRule="auto"/>
        <w:rPr>
          <w:sz w:val="20"/>
          <w:szCs w:val="20"/>
          <w:color w:val="auto"/>
        </w:rPr>
      </w:pPr>
      <w:r>
        <w:rPr>
          <w:rFonts w:ascii="Arial" w:cs="Arial" w:eastAsia="Arial" w:hAnsi="Arial"/>
          <w:sz w:val="18"/>
          <w:szCs w:val="18"/>
          <w:color w:val="auto"/>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balance as of December 31, 2022 and 2021 was $50.2 million and $23.7 million, respectively. The $26.5 million increase primarily reflects timing differences between the completion of our performance obligations and the amounts billed or billable to clients in accordance with their contractual billing terms.</w:t>
      </w:r>
    </w:p>
    <w:p>
      <w:pPr>
        <w:spacing w:after="0" w:line="15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Client prepayments and retainers are classified as deferred revenues and recognized over future periods in accordance with the applicable engagement agreement and our revenue recognition accounting policy. Our deferred revenues balance as of December 31, 2022 and December 31, 2021 was $21.9 million and $19.2 million respectively. The $ 2.7 million increase primarily reflects timing differences between client payments in accordance with their contract terms and the completion of our performance obligations. For the year ended December 31, 2022, $18.5 million of revenues recognized were included in the deferred revenue balance as of December 31, 2021. For the year ended December 31, 2021, $27.6 million of revenues recognized were included in the deferred revenue balance as of December 31,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unvested restricted stock units, and outstanding common stock options, to the extent dilutive. In periods for which we report a net loss from continuing operations, diluted weighted average common shares outstanding excludes all potential common stock equivalents as their impact on diluted net loss from continuing operations per share would be anti-dilutive.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under the basic and diluted computations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2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(23,718)</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4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(23,840)</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58"/>
        </w:trPr>
        <w:tc>
          <w:tcPr>
            <w:tcW w:w="6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outstanding—basic</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21,882</w:t>
            </w:r>
          </w:p>
        </w:tc>
      </w:tr>
      <w:tr>
        <w:trPr>
          <w:trHeight w:val="230"/>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stock equivalents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outstanding—diluted</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21,882</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 per basic share: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23"/>
        </w:trPr>
        <w:tc>
          <w:tcPr>
            <w:tcW w:w="61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Net earnings (loss) per diluted share: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48"/>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0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number of anti-dilutive securities excluded from the computation of the weighted average common stock equivalents presented above at December 31, 2022, 2021 and 2020 was 0.2 million, 0.1 million and 1.1 million, respectively, and related to unvested restricted stock and outstanding common stock options.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Programs</w:t>
      </w:r>
    </w:p>
    <w:p>
      <w:pPr>
        <w:spacing w:after="0" w:line="18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November 2020, our board of directors authorized a share repurchase program (the "2020 Share Repurchase Program") permitting us to repurchase up to $50 million of our common stock through December 31, 2021. The 2020 Share Repurchase Program was authorized subsequent to the expiration of our prior share repurchase program (the “2015 Share Repurchase Program”) on October 31, 2020. The 2015 Share Repurchase Program permitted us to repurchase up to $125 million of our common stock through October 31, 2020. The 2020 Share Repurchase Program has been subsequently extended and increased, most recently in the fourth quarter of 2022. The current authorization extends the share repurchase program through December 31, 2023 with a repurchase amount of $300 million. The amount and timing of repurchases under the share repurchase programs were and will continue to be determined by management and depend on a variety of factors, including the trading price of our common stock, capacity under our credit facility, general market and business conditions, and applicable legal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2022, we repurchased and retired 2,037,752 shares for $121.3 million under the 2020 Share Repurchase Program, including 15,200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for $1.1 million which settled in the first quarter of 2023. Additionally, during the first quarter of 2022, we settled the repurchase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3,820 shares for $0.2 million that were accrued as of December 31, 2021. During 2021, we repurchased and retired 1,265,261 shares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$64.8 million under the 2020 Share Repurchase Program, including the 3,820 shares for $0.2 million which settled in the first quarter of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During 2020, we repurchased and retired 313,998 shares for $20.9 million under the 2015 Share Repurchase Program and 111,166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$5.0 million under the 2020 Share Repurchase Program. Additionally, during the first quarter of 2020, we settled the repurchase of 18,000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for $1.2 million that were accrued as of December 31, 2019. As of December 31, 2022, $108.9 million remained available for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repurchases under our share repurchase program.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 Charges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2022, we incurred $9.9 million of total pretax restructuring expense, which consisted of the following charges:</w:t>
      </w:r>
    </w:p>
    <w:p>
      <w:pPr>
        <w:spacing w:after="0" w:line="153"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i w:val="1"/>
          <w:iCs w:val="1"/>
          <w:color w:val="auto"/>
        </w:rPr>
        <w:t xml:space="preserve">Employee Costs </w:t>
      </w:r>
      <w:r>
        <w:rPr>
          <w:rFonts w:ascii="Arial" w:cs="Arial" w:eastAsia="Arial" w:hAnsi="Arial"/>
          <w:sz w:val="18"/>
          <w:szCs w:val="18"/>
          <w:color w:val="auto"/>
        </w:rPr>
        <w:t>- We incurred $5.7 million of severance-related restructuring expense as a result of workforce reductions to better align</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with market demand.</w:t>
      </w:r>
    </w:p>
    <w:p>
      <w:pPr>
        <w:spacing w:after="0" w:line="10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i w:val="1"/>
          <w:iCs w:val="1"/>
          <w:color w:val="auto"/>
        </w:rPr>
        <w:t xml:space="preserve">Office space reductions </w:t>
      </w:r>
      <w:r>
        <w:rPr>
          <w:rFonts w:ascii="Arial" w:cs="Arial" w:eastAsia="Arial" w:hAnsi="Arial"/>
          <w:sz w:val="18"/>
          <w:szCs w:val="18"/>
          <w:color w:val="auto"/>
        </w:rPr>
        <w:t>- We incurred $2.5 million of restructuring expense related to office space reductions, of which $2.3 million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rent and related expenses, net of sublease income, for previously vacated office spaces and $0.2 million related to a non-cash lease impairment charge driven by updated sublease assumptions for a previously vacated office space.</w:t>
      </w:r>
    </w:p>
    <w:p>
      <w:pPr>
        <w:spacing w:after="0" w:line="12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We incurred $1.7 million of other restructuring charges, of which $0.7 million related to third-party professional advisory fees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modification of our operating model, $0.6 million related to the early termination of a contract, $0.3 million related to the accelerated amortization of capitalized software implementation costs for a cloud-computing arrangement that is no longer in use, and $0.1 million related to the divestiture of our Life Sciences business in the fourth quarter of 2021.</w:t>
      </w:r>
    </w:p>
    <w:p>
      <w:pPr>
        <w:spacing w:after="0" w:line="14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Of the total $9.9 million pretax restructuring charge, $3.9 million was recognized in our Education segment, $3.7 million was recognized in our corporate operations, $1.6 million was recognized in our Commercial segment, and $0.7 million was recognized in our Healthcare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2021, we incurred $12.4 million of total pretax restructuring expense. Of the $12.4 million pretax restructuring expense, $8.5 million related to the divestiture of our Life Sciences business. On November 1, 2021, we completed the sale of the Life Sciences business to a third-party, and recognized a $31.5 million pre-tax gain which is included within other income (expense), net on our consolidated statement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total pretax restructuring expense of $12.4 million recognized in 2021 consisted of the following charges:</w:t>
      </w:r>
    </w:p>
    <w:p>
      <w:pPr>
        <w:spacing w:after="0" w:line="153"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i w:val="1"/>
          <w:iCs w:val="1"/>
          <w:color w:val="auto"/>
        </w:rPr>
        <w:t xml:space="preserve">Employee Costs </w:t>
      </w:r>
      <w:r>
        <w:rPr>
          <w:rFonts w:ascii="Arial" w:cs="Arial" w:eastAsia="Arial" w:hAnsi="Arial"/>
          <w:sz w:val="18"/>
          <w:szCs w:val="18"/>
          <w:color w:val="auto"/>
        </w:rPr>
        <w:t>- We incurred $8.1 million of employee-related restructuring expense, of which $ 6.8 million related to transaction-related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payments made in connection with the divestiture of our Life Sciences businesses and $1.3 million related to other employee-related expenses.</w:t>
      </w:r>
    </w:p>
    <w:p>
      <w:pPr>
        <w:spacing w:after="0" w:line="12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i w:val="1"/>
          <w:iCs w:val="1"/>
          <w:color w:val="auto"/>
        </w:rPr>
        <w:t xml:space="preserve">Office space reductions </w:t>
      </w:r>
      <w:r>
        <w:rPr>
          <w:rFonts w:ascii="Arial" w:cs="Arial" w:eastAsia="Arial" w:hAnsi="Arial"/>
          <w:sz w:val="18"/>
          <w:szCs w:val="18"/>
          <w:color w:val="auto"/>
        </w:rPr>
        <w:t>- We incurred $3.1 million of restructuring expense related to office space reductions, of which $ 2.3 million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rent and related expenses, net of sublease income, and accelerated depreciation on furniture and fixtures for previously vacated office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spaces and $0.8 million related to accelerated amortization and depreciation on the operating lease ROU asset and fixed assets related to our London, U.K. office which we vacated in connection with the divestiture of our Life Sciences business.</w:t>
      </w:r>
    </w:p>
    <w:p>
      <w:pPr>
        <w:spacing w:after="0" w:line="126"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We incurred $1.2 million of other restructuring charges, of which $0.9 million related to third-party legal and professional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in connection with the divestiture of our Life Sciences business and $0.2 million related to third-party professional advisory fees related to the modification of our operating model.</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Of the total $12.4 million pretax restructuring charge, $7.7 million was recognized in the Commercial segment, $4.5 million was recognized in our corporate operations, $0.1 million was recognized in our Healthcare segment, and $0.1 million was recognized in our Education segment.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w:t>
      </w:r>
    </w:p>
    <w:p>
      <w:pPr>
        <w:spacing w:after="0" w:line="19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In 2020, we incurred $20.5 million of total pretax restructuring expense. Of the $ 20.5 million pretax restructuring expense, $18.7 million related to the restructuring plan executed in the fourth quarter of 2020 to reduce operating costs to address the impact of the COVID-19 pandemic on our business. The total pretax restructuring expense of $20.5 million recognized in 2020 consisted of the following charges:</w:t>
      </w:r>
    </w:p>
    <w:p>
      <w:pPr>
        <w:spacing w:after="0" w:line="130"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Employee Costs </w:t>
      </w:r>
      <w:r>
        <w:rPr>
          <w:rFonts w:ascii="Arial" w:cs="Arial" w:eastAsia="Arial" w:hAnsi="Arial"/>
          <w:sz w:val="18"/>
          <w:szCs w:val="18"/>
          <w:color w:val="auto"/>
        </w:rPr>
        <w:t>- We incurred $5.3 million of severance-related restructuring expense, of which, $4.8 million related to the fourth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2020 restructuring plan and $0.4 million related to workforce reductions completed prior to the fourth quarter of 2020 to better align resources with market demand.</w:t>
      </w:r>
    </w:p>
    <w:p>
      <w:pPr>
        <w:spacing w:after="0" w:line="12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Office space reductions </w:t>
      </w:r>
      <w:r>
        <w:rPr>
          <w:rFonts w:ascii="Arial" w:cs="Arial" w:eastAsia="Arial" w:hAnsi="Arial"/>
          <w:sz w:val="18"/>
          <w:szCs w:val="18"/>
          <w:color w:val="auto"/>
        </w:rPr>
        <w:t>- We incurred $14.0 million of restructuring expense related to office space reductions, which primarily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fourth quarter 2020 restructuring plan. The fourth quarter 2020 restructuring plan provided for a reduction in certain leased office spaces which included a portion of our principal executive office in Chicago, Illinois; the remaining portion of our Lake Oswego, Oregon office; our Boston, Massachusetts and Detroit, Michigan offices; and portions of our Denver, Colorado, New York City, New York, and Pensacola, Florida offices. As a result, we recognized $13.2 million of non-cash lease impairment charges on the related operating lease ROU assets and fixed assets for those we intend to sublease, as well as $0.7 million of accelerated amortization and depreciation on the related operating lease ROU assets and fixed assets we abandoned. See Note 5 “Leases” for additional information on the long-lived asset impairment test performed in 2020. We also incurred $0.1 million related to rent and related expenses, net of sublease income, for previously vacated office spaces.</w:t>
      </w:r>
    </w:p>
    <w:p>
      <w:pPr>
        <w:spacing w:after="0" w:line="134"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We incurred $1.2 million of other restructuring charges primarily related to an accrual for the termination of a third-party advisor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2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Of the total $20.5 million pretax restructuring charge, $14.8 million related to our corporate operations, $2.1 million was recognized in our Commercial segment, $1.8 million was recognized in our Education segment, and $1.8 million was recognized in our Healthcare segment.</w:t>
      </w:r>
    </w:p>
    <w:p>
      <w:pPr>
        <w:spacing w:after="0" w:line="14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years ended December 31,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Employee Costs</w:t>
            </w:r>
          </w:p>
        </w:tc>
        <w:tc>
          <w:tcPr>
            <w:tcW w:w="20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Office Space</w:t>
            </w:r>
          </w:p>
        </w:tc>
        <w:tc>
          <w:tcPr>
            <w:tcW w:w="340" w:type="dxa"/>
            <w:vAlign w:val="bottom"/>
          </w:tcPr>
          <w:p>
            <w:pPr>
              <w:spacing w:after="0"/>
              <w:rPr>
                <w:sz w:val="18"/>
                <w:szCs w:val="18"/>
                <w:color w:val="auto"/>
              </w:rPr>
            </w:pPr>
          </w:p>
        </w:tc>
        <w:tc>
          <w:tcPr>
            <w:tcW w:w="142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18"/>
                <w:szCs w:val="18"/>
                <w:color w:val="auto"/>
              </w:rPr>
            </w:pPr>
          </w:p>
        </w:tc>
        <w:tc>
          <w:tcPr>
            <w:tcW w:w="130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Reductions</w:t>
            </w:r>
          </w:p>
        </w:tc>
        <w:tc>
          <w:tcPr>
            <w:tcW w:w="34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29"/>
        </w:trPr>
        <w:tc>
          <w:tcPr>
            <w:tcW w:w="42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8,132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9,288</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(11,559)</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30"/>
        </w:trPr>
        <w:tc>
          <w:tcPr>
            <w:tcW w:w="42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6,984</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right="80" w:hanging="332"/>
        <w:spacing w:after="0" w:line="256" w:lineRule="auto"/>
        <w:tabs>
          <w:tab w:leader="none" w:pos="37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Additions and adjustments exclude non-cash items related to vacated office spaces, such as lease impairment charges and accelerated depreciation on abandoned operating lease ROU assets and fixed assets, which are recorded as restructuring charges on our consolidated statements of operations.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All of the $3.8 million restructuring charge liability related to employee costs at December 31, 2022 is expected to be paid in the next 15 months and is included as a component of accrued payroll and related benefits and deferred compensation and other liabilities. All of the $0.6 million other restructuring charge liability at December 31, 2022 is expected to be paid in the next 12 months and is included as a component of accrued expenses and other current liabilities.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 and Hedging Activity</w:t>
      </w:r>
    </w:p>
    <w:p>
      <w:pPr>
        <w:spacing w:after="0" w:line="193"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In the normal course of business, we use forward interest rate swaps to manage the interest rate risk associated with our variable-rate borrowings under our senior secured credit facility and we use non-deliverable foreign exchange forward contracts to manage the foreign currency exchange rate risk related to our operations in India. We do not use derivative instruments for trading or other speculative purposes.</w:t>
      </w:r>
    </w:p>
    <w:p>
      <w:pPr>
        <w:spacing w:after="0" w:line="1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designated all of our derivative instruments as cash flow hedges. Therefore, changes in the fair value of the interest rate swaps and foreign exchange forward contracts are recorded to other comprehensive income (“OCI”) to the extent effective and reclassified to earnings upon settlement.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and 2021, we were party to forward interest rate swap agreements with an aggregate notional amount of</w:t>
      </w:r>
    </w:p>
    <w:p>
      <w:pPr>
        <w:spacing w:after="0" w:line="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$200.0 million. In the fourth quarter of 2022, in conjunction with the amendment to our senior secured credit facility which, among other items, amended the base rate of our variable-rate borrowings from LIBOR to Term SOFR, we updated the reference rate within our interest rate swap agreements from LIBOR to Term SOFR. Under the terms of the updated interest rate swap agreements, we receive from the counterparty interest on the notional amount based on one month Term SOFR and we pay to the counterparty a stated, fixed rate. Prior to updating our interest rate swap agreements, we received from the counterparty interest on the notional amount based on one month LIBOR and we paid to the counterparty a stated, fixed rate. The forward interest rate swap agreements in effect as of December 31, 2022 have staggered maturities through August 31, 2027.</w:t>
      </w:r>
    </w:p>
    <w:p>
      <w:pPr>
        <w:spacing w:after="0" w:line="15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of December 31, 2022, it was anticipated that $4.8 million of the gains, net of tax, related to interest rate swaps currently recorded in accumulated other comprehensive income will be reclassified into interest expense, net of interest income in our consolidated statement of operations within the next 12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Forward Contracts</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of December 31, 2022, we were party to non-deliverable foreign exchange forward contracts with an aggregate notional amount of INR 657.9 million, or $8.0 million based on the exchange rate in effect as of December 31, 2022. These foreign exchange forward contracts will mature monthly through September 2023 to hedge a portion of our forecasted monthly Indian Rupee-denominated expenses against foreign currency fluctuation with the United States dollar.</w:t>
      </w:r>
    </w:p>
    <w:p>
      <w:pPr>
        <w:spacing w:after="0" w:line="150"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As of December 31, 2022, it was anticipated that $0.1 million of the losses, net of tax, related to foreign exchange forward contracts currently recorded in accumulated other comprehensive income will be reclassified into direct costs in our consolidated statement of operations within the next 12 months.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additional information relating to our derivative instruments as of December 31, 2022 and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4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107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331"/>
        </w:trPr>
        <w:tc>
          <w:tcPr>
            <w:tcW w:w="3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Derivative Instrument</w:t>
            </w:r>
          </w:p>
        </w:tc>
        <w:tc>
          <w:tcPr>
            <w:tcW w:w="47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Balance Sheet Location</w:t>
            </w:r>
          </w:p>
        </w:tc>
        <w:tc>
          <w:tcPr>
            <w:tcW w:w="10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4"/>
                <w:szCs w:val="24"/>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vMerge w:val="continue"/>
          </w:tcPr>
          <w:p>
            <w:pPr>
              <w:spacing w:after="0"/>
              <w:rPr>
                <w:sz w:val="21"/>
                <w:szCs w:val="21"/>
                <w:color w:val="auto"/>
              </w:rPr>
            </w:pPr>
          </w:p>
        </w:tc>
        <w:tc>
          <w:tcPr>
            <w:tcW w:w="47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swaps</w:t>
            </w:r>
          </w:p>
        </w:tc>
        <w:tc>
          <w:tcPr>
            <w:tcW w:w="48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4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rPr>
              <w:t>Deferred compensation and other liabilities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on our consolidated balance sheet. Refer to Note 14 “Other Comprehensive Income (Loss)” for additional information on our derivative instruments.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of Financial Instruments</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240"/>
          </w:cols>
          <w:pgMar w:left="320" w:top="140" w:right="339" w:bottom="1440" w:gutter="0" w:footer="0" w:header="0"/>
        </w:sectPr>
      </w:pPr>
    </w:p>
    <w:p>
      <w:pPr>
        <w:spacing w:after="0" w:line="1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1 Inputs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81" w:lineRule="exact"/>
        <w:rPr>
          <w:sz w:val="20"/>
          <w:szCs w:val="20"/>
          <w:color w:val="auto"/>
        </w:rPr>
      </w:pPr>
    </w:p>
    <w:p>
      <w:pPr>
        <w:sectPr>
          <w:pgSz w:w="11900" w:h="16838" w:orient="portrait"/>
          <w:cols w:equalWidth="0" w:num="2">
            <w:col w:w="1220" w:space="720"/>
            <w:col w:w="9300"/>
          </w:cols>
          <w:pgMar w:left="320" w:top="140"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Level 2 Inputs</w:t>
      </w:r>
    </w:p>
    <w:p>
      <w:pPr>
        <w:spacing w:after="0" w:line="20" w:lineRule="exact"/>
        <w:rPr>
          <w:sz w:val="20"/>
          <w:szCs w:val="20"/>
          <w:color w:val="auto"/>
        </w:rPr>
      </w:pPr>
      <w:r>
        <w:rPr>
          <w:sz w:val="20"/>
          <w:szCs w:val="20"/>
          <w:color w:val="auto"/>
        </w:rPr>
        <w:br w:type="column"/>
      </w:r>
    </w:p>
    <w:p>
      <w:pPr>
        <w:ind w:right="160"/>
        <w:spacing w:after="0" w:line="232" w:lineRule="auto"/>
        <w:rPr>
          <w:sz w:val="20"/>
          <w:szCs w:val="20"/>
          <w:color w:val="auto"/>
        </w:rPr>
      </w:pPr>
      <w:r>
        <w:rPr>
          <w:rFonts w:ascii="Arial" w:cs="Arial" w:eastAsia="Arial" w:hAnsi="Arial"/>
          <w:sz w:val="17"/>
          <w:szCs w:val="17"/>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81" w:lineRule="exact"/>
        <w:rPr>
          <w:sz w:val="20"/>
          <w:szCs w:val="20"/>
          <w:color w:val="auto"/>
        </w:rPr>
      </w:pPr>
    </w:p>
    <w:p>
      <w:pPr>
        <w:sectPr>
          <w:pgSz w:w="11900" w:h="16838" w:orient="portrait"/>
          <w:cols w:equalWidth="0" w:num="2">
            <w:col w:w="1220" w:space="720"/>
            <w:col w:w="9300"/>
          </w:cols>
          <w:pgMar w:left="320" w:top="140"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Level 3 Inputs</w:t>
      </w:r>
    </w:p>
    <w:p>
      <w:pPr>
        <w:spacing w:after="0" w:line="20" w:lineRule="exact"/>
        <w:rPr>
          <w:sz w:val="20"/>
          <w:szCs w:val="20"/>
          <w:color w:val="auto"/>
        </w:rPr>
      </w:pPr>
      <w:r>
        <w:rPr>
          <w:sz w:val="20"/>
          <w:szCs w:val="20"/>
          <w:color w:val="auto"/>
        </w:rPr>
        <w:br w:type="column"/>
      </w:r>
    </w:p>
    <w:p>
      <w:pPr>
        <w:ind w:right="260"/>
        <w:spacing w:after="0" w:line="227" w:lineRule="auto"/>
        <w:rPr>
          <w:sz w:val="20"/>
          <w:szCs w:val="20"/>
          <w:color w:val="auto"/>
        </w:rPr>
      </w:pPr>
      <w:r>
        <w:rPr>
          <w:rFonts w:ascii="Arial" w:cs="Arial" w:eastAsia="Arial" w:hAnsi="Arial"/>
          <w:sz w:val="18"/>
          <w:szCs w:val="18"/>
          <w:color w:val="auto"/>
        </w:rPr>
        <w:t>Unobservable inputs for the asset or liability, and include situations in which there is little, if any, market activity for the asset or liability.</w:t>
      </w:r>
    </w:p>
    <w:p>
      <w:pPr>
        <w:spacing w:after="0" w:line="200" w:lineRule="exact"/>
        <w:rPr>
          <w:sz w:val="20"/>
          <w:szCs w:val="20"/>
          <w:color w:val="auto"/>
        </w:rPr>
      </w:pPr>
    </w:p>
    <w:p>
      <w:pPr>
        <w:sectPr>
          <w:pgSz w:w="11900" w:h="16838" w:orient="portrait"/>
          <w:cols w:equalWidth="0" w:num="2">
            <w:col w:w="1220" w:space="720"/>
            <w:col w:w="9300"/>
          </w:cols>
          <w:pgMar w:left="320" w:top="140" w:right="339" w:bottom="1440" w:gutter="0" w:footer="0" w:header="0"/>
          <w:type w:val="continuous"/>
        </w:sectPr>
      </w:pPr>
    </w:p>
    <w:p>
      <w:pPr>
        <w:spacing w:after="0" w:line="13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tables below sets forth our fair value hierarchy for our financial assets and liabilities measured at fair value on a recurring basis as of December 31, 2022 and 2021.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1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12,239</w:t>
            </w: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Convertible debt investment</w:t>
            </w:r>
          </w:p>
        </w:tc>
        <w:tc>
          <w:tcPr>
            <w:tcW w:w="120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57,563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57,563</w:t>
            </w: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compensation assets</w:t>
            </w: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29,875</w:t>
            </w:r>
          </w:p>
        </w:tc>
      </w:tr>
      <w:tr>
        <w:trPr>
          <w:trHeight w:val="223"/>
        </w:trPr>
        <w:tc>
          <w:tcPr>
            <w:tcW w:w="466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42,114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57,563</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99,677</w:t>
            </w: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Foreign exchange forward contracts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consideration for business acquisition</w:t>
            </w: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w:t>
            </w:r>
          </w:p>
        </w:tc>
      </w:tr>
      <w:tr>
        <w:trPr>
          <w:trHeight w:val="223"/>
        </w:trPr>
        <w:tc>
          <w:tcPr>
            <w:tcW w:w="4660" w:type="dxa"/>
            <w:vAlign w:val="bottom"/>
          </w:tcPr>
          <w:p>
            <w:pPr>
              <w:ind w:left="560"/>
              <w:spacing w:after="0"/>
              <w:rPr>
                <w:sz w:val="20"/>
                <w:szCs w:val="20"/>
                <w:color w:val="auto"/>
              </w:rPr>
            </w:pPr>
            <w:r>
              <w:rPr>
                <w:rFonts w:ascii="Arial" w:cs="Arial" w:eastAsia="Arial" w:hAnsi="Arial"/>
                <w:sz w:val="18"/>
                <w:szCs w:val="18"/>
                <w:color w:val="auto"/>
              </w:rPr>
              <w:t>Total liabilities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3,190</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3,310</w:t>
            </w: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1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w:t>
            </w: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Convertible debt investment</w:t>
            </w:r>
          </w:p>
        </w:tc>
        <w:tc>
          <w:tcPr>
            <w:tcW w:w="120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65,918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65,918</w:t>
            </w:r>
          </w:p>
        </w:tc>
      </w:tr>
      <w:tr>
        <w:trPr>
          <w:trHeight w:val="229"/>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compensation assets</w:t>
            </w: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39,430</w:t>
            </w:r>
          </w:p>
        </w:tc>
      </w:tr>
      <w:tr>
        <w:trPr>
          <w:trHeight w:val="223"/>
        </w:trPr>
        <w:tc>
          <w:tcPr>
            <w:tcW w:w="466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40,057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65,918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105,975</w:t>
            </w: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Interest rate swaps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1,170</w:t>
            </w: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consideration for business acquisition</w:t>
            </w: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r>
      <w:tr>
        <w:trPr>
          <w:trHeight w:val="223"/>
        </w:trPr>
        <w:tc>
          <w:tcPr>
            <w:tcW w:w="4660" w:type="dxa"/>
            <w:vAlign w:val="bottom"/>
          </w:tcPr>
          <w:p>
            <w:pPr>
              <w:ind w:left="560"/>
              <w:spacing w:after="0"/>
              <w:rPr>
                <w:sz w:val="20"/>
                <w:szCs w:val="20"/>
                <w:color w:val="auto"/>
              </w:rPr>
            </w:pPr>
            <w:r>
              <w:rPr>
                <w:rFonts w:ascii="Arial" w:cs="Arial" w:eastAsia="Arial" w:hAnsi="Arial"/>
                <w:sz w:val="18"/>
                <w:szCs w:val="18"/>
                <w:color w:val="auto"/>
              </w:rPr>
              <w:t>Total liabilities</w:t>
            </w:r>
          </w:p>
        </w:tc>
        <w:tc>
          <w:tcPr>
            <w:tcW w:w="12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4,913</w:t>
            </w:r>
          </w:p>
        </w:tc>
      </w:tr>
    </w:tbl>
    <w:p>
      <w:pPr>
        <w:spacing w:after="0" w:line="23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The fair values of our interest rate swaps were derived using estimates to settle the interest rate swap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based on the net present value of expected future cash flows on each leg of the swap utilizing market-based inputs and discount rates reflecting the risks involved. See Note 12 "Derivative Instruments and Hedging Activity" for additional information on our interest rate swaps.</w:t>
      </w:r>
    </w:p>
    <w:p>
      <w:pPr>
        <w:spacing w:after="0" w:line="12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i w:val="1"/>
          <w:iCs w:val="1"/>
          <w:color w:val="auto"/>
        </w:rPr>
        <w:t xml:space="preserve">Foreign exchange forward contracts: </w:t>
      </w:r>
      <w:r>
        <w:rPr>
          <w:rFonts w:ascii="Arial" w:cs="Arial" w:eastAsia="Arial" w:hAnsi="Arial"/>
          <w:sz w:val="18"/>
          <w:szCs w:val="18"/>
          <w:color w:val="auto"/>
        </w:rPr>
        <w:t>The fair values of our foreign exchange forward contracts were derived using estimates to settle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forward contracts agreements, which are based on the net present value of expected future cash flows on each contract utilizing market-based inputs, including both forward and spot prices, and a discount rate reflecting the risks involved. Refer to Note 12 “Derivative Instruments and Hedging Activity” for additional information on our foreign exchange forward contracts.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5"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Since 2014, we have invested $40.9 million, in the form of 1.69% convertible debt in Shorelight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(“Shorelight”), the parent company of Shorelight, a U.S.-based company that partners with leading nonprofit universities to increase access to and retention of international students, boost institutional growth, and enhance an institution’s global footprint. Effective December 31, 2022, we amended the investment to, among other items, extend the maturity date from January 17, 2024 to January 17, 2027, unless converted earlier.</w:t>
      </w:r>
    </w:p>
    <w:p>
      <w:pPr>
        <w:spacing w:after="0" w:line="1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To determine the appropriate accounting treatment for our initial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 We continue to monitor the key factors of our VIE analysis and the terms of the convertible notes to ensure our accounting treatment is appropriate. We have not identified any changes to Shorelight or our investment, including the amendment effective in the fourth quarter of 2022, that would change our classification of the investment as an available-for-sale debt security.</w:t>
      </w:r>
    </w:p>
    <w:p>
      <w:pPr>
        <w:spacing w:after="0" w:line="15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investment is carried at fair value with unrealized holding gains and losses excluded from earnings and reported in other comprehensive income. We estimate the fair value of our investment using a scenario-based approach in the form of a hybrid analysis that consists of a Monte Carlo simulation model and an expected return analysis. The conclusion of value for our investment is based on the probability-weighted assessment of both scenarios. The hybrid analysis utilizes certain assumptions including the assumed holding period through the maturity date, which was January 17, 2027 and January 17, 2024 for the valuations performed as of December 31, 2022 and 2021, respectively; the applicable waterfall distribution at the end of the expected holding period based on the rights and privileges of the various instruments; cash flow projections discounted at the risk-adjusted rate of 24.0% and 22.5% as of December 31, 2022 and 2021, respectively; and the concluded equity volatility of 40.0% and 45.0% as of December 31, 2022 and 2021,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investments on our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years ended December 31, 2022 and 2021.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Convertible Debt Investment</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64,364</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of convertible debt investment</w:t>
            </w: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24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65,918</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of convertible debt investment</w:t>
            </w: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(8,355)</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57,563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Deferred compensation assets: </w:t>
      </w:r>
      <w:r>
        <w:rPr>
          <w:rFonts w:ascii="Arial" w:cs="Arial" w:eastAsia="Arial" w:hAnsi="Arial"/>
          <w:sz w:val="18"/>
          <w:szCs w:val="18"/>
          <w:color w:val="auto"/>
        </w:rPr>
        <w:t>We have a non-qualified deferred compensation plan (the “Plan”) for the members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a select group of our employees. The deferred compensation liability is fully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on our consolidated balance sheets. Realized and unrealized gains (losses) from the deferred compensation assets are recorded to other income (expense), net in our consolidated statements of operations.</w:t>
      </w:r>
    </w:p>
    <w:p>
      <w:pPr>
        <w:spacing w:after="0" w:line="1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 xml:space="preserve">Contingent consideration for business acquisitions: </w:t>
      </w:r>
      <w:r>
        <w:rPr>
          <w:rFonts w:ascii="Arial" w:cs="Arial" w:eastAsia="Arial" w:hAnsi="Arial"/>
          <w:sz w:val="18"/>
          <w:szCs w:val="18"/>
          <w:color w:val="auto"/>
        </w:rPr>
        <w:t>We estimate the fair value of acquisition-related contingent consideration using either a</w:t>
      </w:r>
      <w:r>
        <w:rPr>
          <w:rFonts w:ascii="Arial" w:cs="Arial" w:eastAsia="Arial" w:hAnsi="Arial"/>
          <w:sz w:val="18"/>
          <w:szCs w:val="18"/>
          <w:i w:val="1"/>
          <w:iCs w:val="1"/>
          <w:color w:val="auto"/>
        </w:rPr>
        <w:t xml:space="preserve"> </w:t>
      </w:r>
      <w:r>
        <w:rPr>
          <w:rFonts w:ascii="Arial" w:cs="Arial" w:eastAsia="Arial" w:hAnsi="Arial"/>
          <w:sz w:val="18"/>
          <w:szCs w:val="18"/>
          <w:color w:val="auto"/>
        </w:rPr>
        <w:t>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a discount rate which was 5.5% as of December 31, 2022. As of December 31, 2021, the discount rate used in the fair value measurements of our contingent consideration was in a range of 2.4% to 5.1% with a weighted average of 3.7%. The weighted average discount rate was calculated using the relative fair values of the contingent consideration as of December 31, 2021. The fair value of the contingent consideration is reassessed quarterly based on assumptions used in our latest projections and input provided by practice leaders and management. Any change in the fair value estimate is recorded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The table below sets forth the changes in the balance of the contingent consideration for business acquisitions for the years ended December 31,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80" w:type="dxa"/>
            <w:vAlign w:val="bottom"/>
          </w:tcPr>
          <w:p>
            <w:pPr>
              <w:jc w:val="right"/>
              <w:ind w:right="210"/>
              <w:spacing w:after="0"/>
              <w:rPr>
                <w:sz w:val="20"/>
                <w:szCs w:val="20"/>
                <w:color w:val="auto"/>
              </w:rPr>
            </w:pPr>
            <w:r>
              <w:rPr>
                <w:rFonts w:ascii="Arial" w:cs="Arial" w:eastAsia="Arial" w:hAnsi="Arial"/>
                <w:sz w:val="18"/>
                <w:szCs w:val="18"/>
                <w:b w:val="1"/>
                <w:bCs w:val="1"/>
                <w:color w:val="auto"/>
              </w:rPr>
              <w:t>Contingent Consideration for</w:t>
            </w:r>
          </w:p>
        </w:tc>
      </w:tr>
      <w:tr>
        <w:trPr>
          <w:trHeight w:val="241"/>
        </w:trPr>
        <w:tc>
          <w:tcPr>
            <w:tcW w:w="8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Business Acquisitions</w:t>
            </w:r>
          </w:p>
        </w:tc>
      </w:tr>
      <w:tr>
        <w:trPr>
          <w:trHeight w:val="225"/>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22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1,800</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w:t>
            </w:r>
          </w:p>
        </w:tc>
        <w:tc>
          <w:tcPr>
            <w:tcW w:w="220" w:type="dxa"/>
            <w:vAlign w:val="bottom"/>
            <w:tcBorders>
              <w:bottom w:val="single" w:sz="8" w:color="auto"/>
            </w:tcBorders>
            <w:shd w:val="clear" w:color="auto" w:fill="CCEEFF"/>
          </w:tcPr>
          <w:p>
            <w:pPr>
              <w:spacing w:after="0"/>
              <w:rPr>
                <w:sz w:val="19"/>
                <w:szCs w:val="19"/>
                <w:color w:val="auto"/>
              </w:rPr>
            </w:pP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22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3,743</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w:t>
            </w:r>
          </w:p>
        </w:tc>
        <w:tc>
          <w:tcPr>
            <w:tcW w:w="220" w:type="dxa"/>
            <w:vAlign w:val="bottom"/>
            <w:shd w:val="clear" w:color="auto" w:fill="CCEEFF"/>
          </w:tcPr>
          <w:p>
            <w:pPr>
              <w:spacing w:after="0"/>
              <w:rPr>
                <w:sz w:val="19"/>
                <w:szCs w:val="19"/>
                <w:color w:val="auto"/>
              </w:rPr>
            </w:pP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Payment</w:t>
            </w:r>
          </w:p>
        </w:tc>
        <w:tc>
          <w:tcPr>
            <w:tcW w:w="22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(1,379)</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w:t>
            </w:r>
          </w:p>
        </w:tc>
        <w:tc>
          <w:tcPr>
            <w:tcW w:w="220" w:type="dxa"/>
            <w:vAlign w:val="bottom"/>
            <w:tcBorders>
              <w:bottom w:val="single" w:sz="8" w:color="auto"/>
            </w:tcBorders>
            <w:shd w:val="clear" w:color="auto" w:fill="CCEEFF"/>
          </w:tcPr>
          <w:p>
            <w:pPr>
              <w:spacing w:after="0"/>
              <w:rPr>
                <w:sz w:val="19"/>
                <w:szCs w:val="19"/>
                <w:color w:val="auto"/>
              </w:rPr>
            </w:pP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Balance as of December 31, 2022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r>
      <w:tr>
        <w:trPr>
          <w:trHeight w:val="21"/>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on a recurring basis are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Investment</w:t>
      </w:r>
    </w:p>
    <w:p>
      <w:pPr>
        <w:spacing w:after="0" w:line="18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the fourth quarter of 2019, we invested $5.0 million in Medically Home Group, Inc. (“Medically Home”), a hospital-at-home company. The investment was made in the form of preferred stock. To determine the appropriate accounting treatment for our preferred stock investment, we performed a VIE analysis and concluded that Medically Home does not meet the definition of a VIE. We also reviewed the characteristics of our investment to confirm that the preferred stock is not in-substance common stock that would warrant equity method accounting. After we reviewed all of the terms of the investment, we concluded the appropriate accounting treatment for our investment in Medically Home to be that of an equity security with no readily determinable fair value. We elected to apply the measurement alternative at the time of the purchase and will continue to do so until the investment does not qualify to be so measured. Under the measurement alternative, the investment is carried at cost minus impairment, if any, plus or minus changes resulting from observable price changes in orderly transactions for the identical or similar investment in Medically Home. On a quarterly basis, we review the information available to determine whether an orderly and observable transaction for the same or similar equity instrument occurred, and remeasure to the fair value of the preferred stock using such identified transactions, with changes in the fair value recorded in our consolidated statement of operations.</w:t>
      </w:r>
    </w:p>
    <w:p>
      <w:pPr>
        <w:spacing w:after="0" w:line="15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During the years ended December 31, 2022 and 2020, we recognized unrealized gains of $27.0 million and $1.7 million, for cumulative unrealized gains of $28.6 million, based on observable price changes of preferred stock issued by Medically Home with similar rights and preferences to our preferred stock investment, a Level 2 input. These unrealized gains were recorded to other income (expense), net in our consolidated statement of operations. There were no observable price changes in 2021, nor have we identified any impairments of our investment since inception. As of December 31, 2022 and 2021, the carrying of our preferred stock investment was $33.6 million and $6.7 million,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89"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7 “Financing Arrangements” for additional information on our senior secured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 due 2024</w:t>
      </w:r>
    </w:p>
    <w:p>
      <w:pPr>
        <w:spacing w:after="0" w:line="18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first quarter of 2022, we completed the sale of our aircraft to a third-party and used a portion of the sale proceeds to pay the remaining principal and unpaid interest on our promissory note due 2024. The carrying value of our promissory note due 2024 was stated at cost. The carrying value approximated fair value, using Level 2 inputs, as the promissory note bore interest at rates based on then-current market rates as set forth in the terms of the promissory note. Refer to Note 7 “Financing Arrangements” for additional information on our promissory note due 2024.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Other Financial Instruments</w:t>
      </w:r>
    </w:p>
    <w:p>
      <w:pPr>
        <w:spacing w:after="0" w:line="18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Comprehensive Income (Loss)</w:t>
      </w:r>
    </w:p>
    <w:p>
      <w:pPr>
        <w:spacing w:after="0" w:line="19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table below sets forth the components of accumulated other comprehensive income (loss), net of tax for the years ended December 31, 2022, 2021, and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60" w:type="dxa"/>
            <w:vAlign w:val="bottom"/>
            <w:gridSpan w:val="5"/>
          </w:tcPr>
          <w:p>
            <w:pPr>
              <w:ind w:left="160"/>
              <w:spacing w:after="0"/>
              <w:rPr>
                <w:sz w:val="20"/>
                <w:szCs w:val="20"/>
                <w:color w:val="auto"/>
              </w:rPr>
            </w:pPr>
            <w:r>
              <w:rPr>
                <w:rFonts w:ascii="Arial" w:cs="Arial" w:eastAsia="Arial" w:hAnsi="Arial"/>
                <w:sz w:val="18"/>
                <w:szCs w:val="18"/>
                <w:b w:val="1"/>
                <w:bCs w:val="1"/>
                <w:color w:val="auto"/>
              </w:rPr>
              <w:t>Cash Flow Hedges</w:t>
            </w:r>
            <w:r>
              <w:rPr>
                <w:rFonts w:ascii="Arial" w:cs="Arial" w:eastAsia="Arial" w:hAnsi="Arial"/>
                <w:sz w:val="23"/>
                <w:szCs w:val="23"/>
                <w:b w:val="1"/>
                <w:bCs w:val="1"/>
                <w:color w:val="auto"/>
                <w:vertAlign w:val="superscript"/>
              </w:rPr>
              <w:t>(1)</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9"/>
              </w:rPr>
              <w:t>Foreign</w:t>
            </w:r>
          </w:p>
        </w:tc>
        <w:tc>
          <w:tcPr>
            <w:tcW w:w="12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Available-for-</w:t>
            </w: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w w:val="99"/>
              </w:rPr>
              <w:t>Foreign</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Interest Rate</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8"/>
              </w:rPr>
              <w:t>Exchange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8"/>
              </w:rPr>
              <w:t>Currency</w:t>
            </w:r>
          </w:p>
        </w:tc>
        <w:tc>
          <w:tcPr>
            <w:tcW w:w="240" w:type="dxa"/>
            <w:vAlign w:val="bottom"/>
          </w:tcPr>
          <w:p>
            <w:pPr>
              <w:spacing w:after="0"/>
              <w:rPr>
                <w:sz w:val="15"/>
                <w:szCs w:val="15"/>
                <w:color w:val="auto"/>
              </w:rPr>
            </w:pPr>
          </w:p>
        </w:tc>
        <w:tc>
          <w:tcPr>
            <w:tcW w:w="1040" w:type="dxa"/>
            <w:vAlign w:val="bottom"/>
            <w:gridSpan w:val="2"/>
          </w:tcPr>
          <w:p>
            <w:pPr>
              <w:jc w:val="center"/>
              <w:ind w:right="400"/>
              <w:spacing w:after="0" w:line="176" w:lineRule="exact"/>
              <w:rPr>
                <w:sz w:val="20"/>
                <w:szCs w:val="20"/>
                <w:color w:val="auto"/>
              </w:rPr>
            </w:pPr>
            <w:r>
              <w:rPr>
                <w:rFonts w:ascii="Arial" w:cs="Arial" w:eastAsia="Arial" w:hAnsi="Arial"/>
                <w:sz w:val="18"/>
                <w:szCs w:val="18"/>
                <w:b w:val="1"/>
                <w:bCs w:val="1"/>
                <w:color w:val="auto"/>
                <w:w w:val="97"/>
              </w:rPr>
              <w:t>Sale</w:t>
            </w:r>
          </w:p>
        </w:tc>
        <w:tc>
          <w:tcPr>
            <w:tcW w:w="12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rPr>
              <w:t>Forward</w:t>
            </w:r>
          </w:p>
        </w:tc>
        <w:tc>
          <w:tcPr>
            <w:tcW w:w="260" w:type="dxa"/>
            <w:vAlign w:val="bottom"/>
          </w:tcPr>
          <w:p>
            <w:pPr>
              <w:spacing w:after="0"/>
              <w:rPr>
                <w:sz w:val="15"/>
                <w:szCs w:val="15"/>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Translation</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Investments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Swaps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Contracts</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14,936</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Foreign currency translation adjustment, net of tax of $0</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(loss) on investments: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40"/>
              <w:spacing w:after="0"/>
              <w:rPr>
                <w:sz w:val="20"/>
                <w:szCs w:val="20"/>
                <w:color w:val="auto"/>
              </w:rPr>
            </w:pPr>
            <w:r>
              <w:rPr>
                <w:rFonts w:ascii="Arial" w:cs="Arial" w:eastAsia="Arial" w:hAnsi="Arial"/>
                <w:sz w:val="18"/>
                <w:szCs w:val="18"/>
                <w:color w:val="auto"/>
              </w:rPr>
              <w:t>Change in fair value, net of tax of $(499)</w:t>
            </w:r>
          </w:p>
        </w:tc>
        <w:tc>
          <w:tcPr>
            <w:tcW w:w="1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(loss) on cash flow hedges: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Interest rate swaps: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net of tax of $1,693</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188"/>
        </w:trPr>
        <w:tc>
          <w:tcPr>
            <w:tcW w:w="4900" w:type="dxa"/>
            <w:vAlign w:val="bottom"/>
          </w:tcPr>
          <w:p>
            <w:pPr>
              <w:ind w:left="240"/>
              <w:spacing w:after="0" w:line="189" w:lineRule="exact"/>
              <w:rPr>
                <w:sz w:val="20"/>
                <w:szCs w:val="20"/>
                <w:color w:val="auto"/>
              </w:rPr>
            </w:pPr>
            <w:r>
              <w:rPr>
                <w:rFonts w:ascii="Arial" w:cs="Arial" w:eastAsia="Arial" w:hAnsi="Arial"/>
                <w:sz w:val="18"/>
                <w:szCs w:val="18"/>
                <w:color w:val="auto"/>
              </w:rPr>
              <w:t>Reclassification adjustment into earnings, net of tax of</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$(388)</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13,061</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Foreign currency translation adjustment, net of tax of $0</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Reclassification adjustments into earnings, net of tax of $0</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Unrealized gain (loss) on investments: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net of tax of $(385)</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Unrealized gain (loss) on cash flow hedges: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Interest rate swaps: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40"/>
              <w:spacing w:after="0"/>
              <w:rPr>
                <w:sz w:val="20"/>
                <w:szCs w:val="20"/>
                <w:color w:val="auto"/>
              </w:rPr>
            </w:pPr>
            <w:r>
              <w:rPr>
                <w:rFonts w:ascii="Arial" w:cs="Arial" w:eastAsia="Arial" w:hAnsi="Arial"/>
                <w:sz w:val="18"/>
                <w:szCs w:val="18"/>
                <w:color w:val="auto"/>
              </w:rPr>
              <w:t>Change in fair value, net of tax of $(641)</w:t>
            </w:r>
          </w:p>
        </w:tc>
        <w:tc>
          <w:tcPr>
            <w:tcW w:w="1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188"/>
        </w:trPr>
        <w:tc>
          <w:tcPr>
            <w:tcW w:w="490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Reclassification adjustment into earnings, net of tax of</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$(678)</w:t>
            </w: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16,840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 net of tax of $0</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Unrealized gain (loss) on investments: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net of tax of $2,209</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Unrealized gain (loss) on cash flow hedges: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Interest rate swaps: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40"/>
              <w:spacing w:after="0"/>
              <w:rPr>
                <w:sz w:val="20"/>
                <w:szCs w:val="20"/>
                <w:color w:val="auto"/>
              </w:rPr>
            </w:pPr>
            <w:r>
              <w:rPr>
                <w:rFonts w:ascii="Arial" w:cs="Arial" w:eastAsia="Arial" w:hAnsi="Arial"/>
                <w:sz w:val="18"/>
                <w:szCs w:val="18"/>
                <w:color w:val="auto"/>
              </w:rPr>
              <w:t>Change in fair value, net of tax of $(3,555)</w:t>
            </w:r>
          </w:p>
        </w:tc>
        <w:tc>
          <w:tcPr>
            <w:tcW w:w="16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9,892</w:t>
            </w:r>
          </w:p>
        </w:tc>
        <w:tc>
          <w:tcPr>
            <w:tcW w:w="0" w:type="dxa"/>
            <w:vAlign w:val="bottom"/>
          </w:tcPr>
          <w:p>
            <w:pPr>
              <w:spacing w:after="0"/>
              <w:rPr>
                <w:sz w:val="1"/>
                <w:szCs w:val="1"/>
                <w:color w:val="auto"/>
              </w:rPr>
            </w:pPr>
          </w:p>
        </w:tc>
      </w:tr>
      <w:tr>
        <w:trPr>
          <w:trHeight w:val="188"/>
        </w:trPr>
        <w:tc>
          <w:tcPr>
            <w:tcW w:w="490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Reclassification adjustment into earnings, net of tax of</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Foreign exchange forward contracts: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net of tax of $43</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88"/>
        </w:trPr>
        <w:tc>
          <w:tcPr>
            <w:tcW w:w="4900" w:type="dxa"/>
            <w:vAlign w:val="bottom"/>
          </w:tcPr>
          <w:p>
            <w:pPr>
              <w:ind w:left="240"/>
              <w:spacing w:after="0" w:line="189" w:lineRule="exact"/>
              <w:rPr>
                <w:sz w:val="20"/>
                <w:szCs w:val="20"/>
                <w:color w:val="auto"/>
              </w:rPr>
            </w:pPr>
            <w:r>
              <w:rPr>
                <w:rFonts w:ascii="Arial" w:cs="Arial" w:eastAsia="Arial" w:hAnsi="Arial"/>
                <w:sz w:val="18"/>
                <w:szCs w:val="18"/>
                <w:color w:val="auto"/>
              </w:rPr>
              <w:t>Reclassification adjustment into earnings, net of tax of</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4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18,119</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340" w:right="460" w:hanging="332"/>
        <w:spacing w:after="0" w:line="256" w:lineRule="auto"/>
        <w:tabs>
          <w:tab w:leader="none" w:pos="43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before tax amounts reclassified from accumulated other comprehensive income related to our interest rate swaps and foreign exchange forward contracts are recorded to interest expense, net of interest income and direct costs, respectively. Refer to Note 12 "Derivative Instruments and Hedging Activity" for additional information on our derivative instruments.</w:t>
      </w:r>
    </w:p>
    <w:p>
      <w:pPr>
        <w:spacing w:after="0" w:line="66" w:lineRule="exact"/>
        <w:rPr>
          <w:rFonts w:ascii="Arial" w:cs="Arial" w:eastAsia="Arial" w:hAnsi="Arial"/>
          <w:sz w:val="18"/>
          <w:szCs w:val="18"/>
          <w:color w:val="auto"/>
        </w:rPr>
      </w:pPr>
    </w:p>
    <w:p>
      <w:pPr>
        <w:jc w:val="both"/>
        <w:ind w:left="340" w:right="220" w:hanging="332"/>
        <w:spacing w:after="0" w:line="254" w:lineRule="auto"/>
        <w:tabs>
          <w:tab w:leader="none" w:pos="4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connection with the divestiture of the Life Sciences business, which included a substantially complete liquidation of an investment within a foreign entity, we included $1.1 million of accumulated translation gains in the calculation of our gain on sale recorded within other income, net on our consolidated statement of operations. See Note 3 "Acquisitions and Divestitures" for additional information on the divestiture of the Life Sciences business in 2021.</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and Deferred Compensation Plans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sponsor a qualified defined contribution 401(k) plan covering substantially all of our employees. Under the plan, employees are entitled to make pretax, post-tax, and/or Roth post-tax contributions up to the annual maximums established by the Internal Revenue Service. We match an amount equal to the employees’ contributions up to 6% of the employees’ eligible earnings. Our matching contributions for the years ended December 31, 2022, 2021, and 2020 were $31.2 million, $29.9 million, and $25.1 million, respectively.</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 non-qualified deferred compensation plan (the “Plan”) that is administered by our board of directors or a committee designated by the board of directors. Under the Plan, members of the board of directors and a select group of our employees may elect to defer the receipt of their director retainers and meeting fees or base salary and bonus, as applicable. Additionally, we may credit amounts to a participant’s deferred compensation account in accordance with employment or other agreements entered into between us and the participant. At our sole discretion, we may, but are not required to, credit any additional amount we desire to any participant’s deferred compensation account. Amounts credited are subject to vesting schedules set forth in the Plan, employment agreement, or any other agreement entered into between us and the participant. The deferred compensation liability at December 31, 2022 and 2021 was $29.9 million and $39.1 million, respectively. This deferred compensation liability is fully funded by the Plan assets.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Equity Incentive Plans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2012, Huron adopted the 2012 Omnibus Incentive Plan (the “2012 Plan”) which replaced, on a prospective basis, our 2004 Omnibus Stock Plan (the "2004 Plan") such that future grants will be granted under the 2012 Plan and any outstanding awards granted under the 2004 Plan that are cancelled, expired, forfeited, settled in cash, or otherwise terminated without a delivery of shares to the participant will not become available for grant under the 2012 Plan. The 2012 Plan permits the grant of stock options, stock appreciation rights, restricted stock, restricted stock units, performance shares and other share-based or cash-based awards valued in whole or in part by reference to, or otherwise based on, our common stock. Subsequent to the initial approval of the 2012 Plan and through December 31, 2022, our shareholders approved amendments to the 2012 Plan to increase the number of shares authorized for issuance to 4.6 million, in the aggregate. As of December 31, 2022, 0.6 million shares remain available for issuance under the 2012 Plan.</w:t>
      </w:r>
    </w:p>
    <w:p>
      <w:pPr>
        <w:spacing w:after="0" w:line="151"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On May 1, 2015, we adopted the Stock Ownership Participation Program (the “SOPP”), which is available to Huron employees below the managing director level who do not receive equity-based awards as part of their normal compensation plan. Under the SOPP, eligible employees may elect to use after-tax payroll deductions to purchase shares of the Company’s common stock on certain designated purchase dates. Employees who purchase stock under the SOPP are granted restricted stock equal to 25% of their purchased shares. Vesting of the restricted stock is subject to both a time-based vesting schedule and a requirement that the purchased shares be held for a specified period. Subsequent to the initial approval of the SOPP and through December 31, 2022, our shareholders approved amendments to the SOPP to increase the total number of shares authorized for issuance to 0.7 million, in the aggregate. Prior to the adoption of the SOPP, the matching share grants and the employee purchased shares under the stock ownership participation program were governed by the 2012 Plan. As of December 31, 2022, 0.2 million shares remain available for issuance under the SOPP.</w:t>
      </w:r>
    </w:p>
    <w:p>
      <w:pPr>
        <w:spacing w:after="0" w:line="158"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It has been our practice to issue shares of common stock upon exercise of stock options and granting of restricted stock from authorized but unissued shares, with the exception of the SOPP under which shares are issued from treasury stock. Certain grants of restricted stock under the 2012 Plan may be issued from treasury stock at the direction of the Compensation Committee.</w:t>
      </w:r>
    </w:p>
    <w:p>
      <w:pPr>
        <w:spacing w:after="0" w:line="148"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Share-based awards outstanding under our 2012 Plan and our 2004 Plan provide for a retirement eligibility provision, under which eligible employees who have reached 62 years of age and have completed seven years of employment with Huron will continue vesting in their share-based awards after retirement, subject to certain conditions. The Compensation Committee of the board of directors has the responsibility of interpreting the 2012 Plan and SOPP and determining all of the terms and conditions of awards made under the plans, including when the awards will become exercisable or otherwise vest.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cost recognized for the years ended December 31, 2022, 2021, and 2020 was $31.0 million, $25.9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$23.9 million, respectively, with related income tax benefits of $6.8 million, $6.3 million, and $5.4 million, respectively.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there was $37.0 million of total unrecognized compensation cost related to nonvested share-based awards. This cost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expected to be recognized over a weighted average period of 2.3 years.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9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grant date fair values of our restricted stock are measured based on the fair value of our common stock at grant date and amortized into expense over the service period. Subject to acceleration under certain conditions, the majority of our restricted stock vests annually over four years.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restricted stock activity for the year ended December 31, 2022.</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4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9"/>
              </w:rPr>
              <w:t>Number of Shares</w:t>
            </w: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center"/>
              <w:ind w:right="151"/>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9"/>
              </w:rPr>
              <w:t>Stock Ownership</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ind w:right="151"/>
              <w:spacing w:after="0" w:line="149" w:lineRule="exact"/>
              <w:rPr>
                <w:sz w:val="20"/>
                <w:szCs w:val="20"/>
                <w:color w:val="auto"/>
              </w:rPr>
            </w:pPr>
            <w:r>
              <w:rPr>
                <w:rFonts w:ascii="Arial" w:cs="Arial" w:eastAsia="Arial" w:hAnsi="Arial"/>
                <w:sz w:val="17"/>
                <w:szCs w:val="17"/>
                <w:b w:val="1"/>
                <w:bCs w:val="1"/>
                <w:color w:val="auto"/>
              </w:rPr>
              <w:t>Average</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16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2012 Omnibus</w:t>
            </w:r>
          </w:p>
        </w:tc>
        <w:tc>
          <w:tcPr>
            <w:tcW w:w="1700" w:type="dxa"/>
            <w:vAlign w:val="bottom"/>
            <w:gridSpan w:val="2"/>
            <w:vMerge w:val="continue"/>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center"/>
              <w:ind w:right="151"/>
              <w:spacing w:after="0" w:line="189" w:lineRule="exact"/>
              <w:rPr>
                <w:sz w:val="20"/>
                <w:szCs w:val="20"/>
                <w:color w:val="auto"/>
              </w:rPr>
            </w:pPr>
            <w:r>
              <w:rPr>
                <w:rFonts w:ascii="Arial" w:cs="Arial" w:eastAsia="Arial" w:hAnsi="Arial"/>
                <w:sz w:val="18"/>
                <w:szCs w:val="18"/>
                <w:b w:val="1"/>
                <w:bCs w:val="1"/>
                <w:color w:val="auto"/>
                <w:w w:val="97"/>
              </w:rPr>
              <w:t>Grant Date</w:t>
            </w:r>
          </w:p>
        </w:tc>
        <w:tc>
          <w:tcPr>
            <w:tcW w:w="0" w:type="dxa"/>
            <w:vAlign w:val="bottom"/>
          </w:tcPr>
          <w:p>
            <w:pPr>
              <w:spacing w:after="0"/>
              <w:rPr>
                <w:sz w:val="1"/>
                <w:szCs w:val="1"/>
                <w:color w:val="auto"/>
              </w:rPr>
            </w:pPr>
          </w:p>
        </w:tc>
      </w:tr>
      <w:tr>
        <w:trPr>
          <w:trHeight w:val="176"/>
        </w:trPr>
        <w:tc>
          <w:tcPr>
            <w:tcW w:w="45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7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rPr>
              <w:t>Participation</w:t>
            </w:r>
          </w:p>
        </w:tc>
        <w:tc>
          <w:tcPr>
            <w:tcW w:w="158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ind w:right="151"/>
              <w:spacing w:after="0" w:line="176" w:lineRule="exact"/>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1"/>
                <w:szCs w:val="21"/>
                <w:color w:val="auto"/>
              </w:rPr>
            </w:pPr>
          </w:p>
        </w:tc>
        <w:tc>
          <w:tcPr>
            <w:tcW w:w="15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Incentive Plan</w:t>
            </w:r>
          </w:p>
        </w:tc>
        <w:tc>
          <w:tcPr>
            <w:tcW w:w="120" w:type="dxa"/>
            <w:vAlign w:val="bottom"/>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Program</w:t>
            </w:r>
          </w:p>
        </w:tc>
        <w:tc>
          <w:tcPr>
            <w:tcW w:w="100" w:type="dxa"/>
            <w:vAlign w:val="bottom"/>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97"/>
              </w:rPr>
              <w:t>(in dollars)</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Nonvested restricted stock at December 31, 2021</w:t>
            </w:r>
          </w:p>
        </w:tc>
        <w:tc>
          <w:tcPr>
            <w:tcW w:w="1560" w:type="dxa"/>
            <w:vAlign w:val="bottom"/>
          </w:tcPr>
          <w:p>
            <w:pPr>
              <w:jc w:val="center"/>
              <w:ind w:left="1050"/>
              <w:spacing w:after="0"/>
              <w:rPr>
                <w:sz w:val="20"/>
                <w:szCs w:val="20"/>
                <w:color w:val="auto"/>
              </w:rPr>
            </w:pPr>
            <w:r>
              <w:rPr>
                <w:rFonts w:ascii="Arial" w:cs="Arial" w:eastAsia="Arial" w:hAnsi="Arial"/>
                <w:sz w:val="18"/>
                <w:szCs w:val="18"/>
                <w:color w:val="auto"/>
                <w:w w:val="99"/>
              </w:rPr>
              <w:t>868</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580" w:type="dxa"/>
            <w:vAlign w:val="bottom"/>
          </w:tcPr>
          <w:p>
            <w:pPr>
              <w:jc w:val="center"/>
              <w:ind w:left="1030"/>
              <w:spacing w:after="0"/>
              <w:rPr>
                <w:sz w:val="20"/>
                <w:szCs w:val="20"/>
                <w:color w:val="auto"/>
              </w:rPr>
            </w:pPr>
            <w:r>
              <w:rPr>
                <w:rFonts w:ascii="Arial" w:cs="Arial" w:eastAsia="Arial" w:hAnsi="Arial"/>
                <w:sz w:val="18"/>
                <w:szCs w:val="18"/>
                <w:color w:val="auto"/>
                <w:w w:val="99"/>
              </w:rPr>
              <w:t>882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53.51</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99"/>
              </w:rPr>
              <w:t>565</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ind w:left="1030"/>
              <w:spacing w:after="0"/>
              <w:rPr>
                <w:sz w:val="20"/>
                <w:szCs w:val="20"/>
                <w:color w:val="auto"/>
              </w:rPr>
            </w:pPr>
            <w:r>
              <w:rPr>
                <w:rFonts w:ascii="Arial" w:cs="Arial" w:eastAsia="Arial" w:hAnsi="Arial"/>
                <w:sz w:val="18"/>
                <w:szCs w:val="18"/>
                <w:color w:val="auto"/>
                <w:w w:val="99"/>
              </w:rPr>
              <w:t>584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Pr>
          <w:p>
            <w:pPr>
              <w:jc w:val="center"/>
              <w:ind w:left="1010"/>
              <w:spacing w:after="0"/>
              <w:rPr>
                <w:sz w:val="20"/>
                <w:szCs w:val="20"/>
                <w:color w:val="auto"/>
              </w:rPr>
            </w:pPr>
            <w:r>
              <w:rPr>
                <w:rFonts w:ascii="Arial" w:cs="Arial" w:eastAsia="Arial" w:hAnsi="Arial"/>
                <w:sz w:val="18"/>
                <w:szCs w:val="18"/>
                <w:color w:val="auto"/>
                <w:w w:val="99"/>
              </w:rPr>
              <w:t>(343)</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580" w:type="dxa"/>
            <w:vAlign w:val="bottom"/>
          </w:tcPr>
          <w:p>
            <w:pPr>
              <w:jc w:val="center"/>
              <w:ind w:left="1030"/>
              <w:spacing w:after="0"/>
              <w:rPr>
                <w:sz w:val="20"/>
                <w:szCs w:val="20"/>
                <w:color w:val="auto"/>
              </w:rPr>
            </w:pPr>
            <w:r>
              <w:rPr>
                <w:rFonts w:ascii="Arial" w:cs="Arial" w:eastAsia="Arial" w:hAnsi="Arial"/>
                <w:sz w:val="18"/>
                <w:szCs w:val="18"/>
                <w:color w:val="auto"/>
                <w:w w:val="99"/>
              </w:rPr>
              <w:t>(355)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50.96</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shd w:val="clear" w:color="auto" w:fill="CCEEFF"/>
          </w:tcPr>
          <w:p>
            <w:pPr>
              <w:jc w:val="center"/>
              <w:ind w:left="1010"/>
              <w:spacing w:after="0"/>
              <w:rPr>
                <w:sz w:val="20"/>
                <w:szCs w:val="20"/>
                <w:color w:val="auto"/>
              </w:rPr>
            </w:pPr>
            <w:r>
              <w:rPr>
                <w:rFonts w:ascii="Arial" w:cs="Arial" w:eastAsia="Arial" w:hAnsi="Arial"/>
                <w:sz w:val="18"/>
                <w:szCs w:val="18"/>
                <w:color w:val="auto"/>
                <w:w w:val="99"/>
              </w:rPr>
              <w:t>(119)</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center"/>
              <w:ind w:left="1030"/>
              <w:spacing w:after="0"/>
              <w:rPr>
                <w:sz w:val="20"/>
                <w:szCs w:val="20"/>
                <w:color w:val="auto"/>
              </w:rPr>
            </w:pPr>
            <w:r>
              <w:rPr>
                <w:rFonts w:ascii="Arial" w:cs="Arial" w:eastAsia="Arial" w:hAnsi="Arial"/>
                <w:sz w:val="18"/>
                <w:szCs w:val="18"/>
                <w:color w:val="auto"/>
                <w:w w:val="99"/>
              </w:rPr>
              <w:t>(122)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Nonvested restricted stock at December 31, 2022</w:t>
            </w:r>
          </w:p>
        </w:tc>
        <w:tc>
          <w:tcPr>
            <w:tcW w:w="1560" w:type="dxa"/>
            <w:vAlign w:val="bottom"/>
            <w:tcBorders>
              <w:bottom w:val="single" w:sz="8" w:color="auto"/>
            </w:tcBorders>
          </w:tcPr>
          <w:p>
            <w:pPr>
              <w:jc w:val="center"/>
              <w:ind w:left="1050"/>
              <w:spacing w:after="0"/>
              <w:rPr>
                <w:sz w:val="20"/>
                <w:szCs w:val="20"/>
                <w:color w:val="auto"/>
              </w:rPr>
            </w:pPr>
            <w:r>
              <w:rPr>
                <w:rFonts w:ascii="Arial" w:cs="Arial" w:eastAsia="Arial" w:hAnsi="Arial"/>
                <w:sz w:val="18"/>
                <w:szCs w:val="18"/>
                <w:color w:val="auto"/>
                <w:w w:val="99"/>
              </w:rPr>
              <w:t>971</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center"/>
              <w:ind w:left="1030"/>
              <w:spacing w:after="0"/>
              <w:rPr>
                <w:sz w:val="20"/>
                <w:szCs w:val="20"/>
                <w:color w:val="auto"/>
              </w:rPr>
            </w:pPr>
            <w:r>
              <w:rPr>
                <w:rFonts w:ascii="Arial" w:cs="Arial" w:eastAsia="Arial" w:hAnsi="Arial"/>
                <w:sz w:val="18"/>
                <w:szCs w:val="18"/>
                <w:color w:val="auto"/>
                <w:w w:val="99"/>
              </w:rPr>
              <w:t>989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aggregate fair value of restricted stock that vested during the years ended December 31, 2022, 2021, and 2020 was $18.4 million, $19.8 million, and $18.6 million, respectively. The weighted average grant date fair value per share of restricted stock granted during 2021 and 2020 was $53.84 and $58.13,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Share Awards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total number of shares earned by recipients of performance-based share awards is contingent upon meeting practice specific and company-wide performance goals. Following the performance period, certain awards are subject to the completion of a service period, which is generally an additional two years. These earned awards vest on a graded vesting schedule over the service period. For certain performance awards, the recipients may earn additional shares of stock for performance achieved above the stated target. The grant date fair values of our performance-based share awards are measured based on the fair value of our common stock at grant date. Compensation cost is amortized into expense over the service period, including the performance period.</w:t>
      </w:r>
    </w:p>
    <w:p>
      <w:pPr>
        <w:spacing w:after="0" w:line="15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table below summarizes the performance-based stock activity for the year ended December 31, 2022. All nonvested performance-based stock outstanding at December 31, 2022 and 2021 was granted under the 2012 Omnibus Incentive Plan.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Weighted</w:t>
            </w:r>
          </w:p>
        </w:tc>
        <w:tc>
          <w:tcPr>
            <w:tcW w:w="0" w:type="dxa"/>
            <w:vAlign w:val="bottom"/>
          </w:tcPr>
          <w:p>
            <w:pPr>
              <w:spacing w:after="0"/>
              <w:rPr>
                <w:sz w:val="1"/>
                <w:szCs w:val="1"/>
                <w:color w:val="auto"/>
              </w:rPr>
            </w:pPr>
          </w:p>
        </w:tc>
      </w:tr>
      <w:tr>
        <w:trPr>
          <w:trHeight w:val="185"/>
        </w:trPr>
        <w:tc>
          <w:tcPr>
            <w:tcW w:w="7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center"/>
              <w:ind w:right="210"/>
              <w:spacing w:after="0" w:line="185" w:lineRule="exact"/>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176"/>
        </w:trPr>
        <w:tc>
          <w:tcPr>
            <w:tcW w:w="7480" w:type="dxa"/>
            <w:vAlign w:val="bottom"/>
          </w:tcPr>
          <w:p>
            <w:pPr>
              <w:spacing w:after="0"/>
              <w:rPr>
                <w:sz w:val="15"/>
                <w:szCs w:val="15"/>
                <w:color w:val="auto"/>
              </w:rPr>
            </w:pPr>
          </w:p>
        </w:tc>
        <w:tc>
          <w:tcPr>
            <w:tcW w:w="1360" w:type="dxa"/>
            <w:vAlign w:val="bottom"/>
            <w:vMerge w:val="restart"/>
          </w:tcPr>
          <w:p>
            <w:pPr>
              <w:jc w:val="center"/>
              <w:ind w:left="370"/>
              <w:spacing w:after="0"/>
              <w:rPr>
                <w:sz w:val="20"/>
                <w:szCs w:val="20"/>
                <w:color w:val="auto"/>
              </w:rPr>
            </w:pPr>
            <w:r>
              <w:rPr>
                <w:rFonts w:ascii="Arial" w:cs="Arial" w:eastAsia="Arial" w:hAnsi="Arial"/>
                <w:sz w:val="18"/>
                <w:szCs w:val="18"/>
                <w:b w:val="1"/>
                <w:bCs w:val="1"/>
                <w:color w:val="auto"/>
                <w:w w:val="99"/>
              </w:rPr>
              <w:t>Number of</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180"/>
        </w:trPr>
        <w:tc>
          <w:tcPr>
            <w:tcW w:w="74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center"/>
              <w:ind w:right="190"/>
              <w:spacing w:after="0" w:line="180" w:lineRule="exact"/>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39"/>
        </w:trPr>
        <w:tc>
          <w:tcPr>
            <w:tcW w:w="74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9"/>
              </w:rPr>
              <w:t>Shares</w:t>
            </w: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(in dollars)</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performance-based stock at December 31, 2021</w:t>
            </w:r>
          </w:p>
        </w:tc>
        <w:tc>
          <w:tcPr>
            <w:tcW w:w="136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438</w:t>
            </w:r>
          </w:p>
        </w:tc>
        <w:tc>
          <w:tcPr>
            <w:tcW w:w="120" w:type="dxa"/>
            <w:vAlign w:val="bottom"/>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30"/>
        </w:trPr>
        <w:tc>
          <w:tcPr>
            <w:tcW w:w="8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340</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rPr>
                <w:sz w:val="1"/>
                <w:szCs w:val="1"/>
                <w:color w:val="auto"/>
              </w:rPr>
            </w:pPr>
          </w:p>
        </w:tc>
      </w:tr>
      <w:tr>
        <w:trPr>
          <w:trHeight w:val="230"/>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(118)</w:t>
            </w:r>
          </w:p>
        </w:tc>
        <w:tc>
          <w:tcPr>
            <w:tcW w:w="120" w:type="dxa"/>
            <w:vAlign w:val="bottom"/>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29"/>
        </w:trPr>
        <w:tc>
          <w:tcPr>
            <w:tcW w:w="8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23"/>
                <w:szCs w:val="23"/>
                <w:color w:val="auto"/>
                <w:vertAlign w:val="superscript"/>
              </w:rPr>
              <w:t>(2)</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(182)</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48"/>
        </w:trPr>
        <w:tc>
          <w:tcPr>
            <w:tcW w:w="748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Nonvested performance-based stock at December 31, 2022 </w:t>
            </w:r>
            <w:r>
              <w:rPr>
                <w:rFonts w:ascii="Arial" w:cs="Arial" w:eastAsia="Arial" w:hAnsi="Arial"/>
                <w:sz w:val="23"/>
                <w:szCs w:val="23"/>
                <w:color w:val="auto"/>
                <w:vertAlign w:val="superscript"/>
              </w:rPr>
              <w:t>(3)</w:t>
            </w:r>
          </w:p>
        </w:tc>
        <w:tc>
          <w:tcPr>
            <w:tcW w:w="136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478</w:t>
            </w:r>
          </w:p>
        </w:tc>
        <w:tc>
          <w:tcPr>
            <w:tcW w:w="400" w:type="dxa"/>
            <w:vAlign w:val="bottom"/>
            <w:tcBorders>
              <w:top w:val="single" w:sz="8" w:color="CCEEFF"/>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right="340" w:hanging="332"/>
        <w:spacing w:after="0" w:line="261" w:lineRule="auto"/>
        <w:tabs>
          <w:tab w:leader="none" w:pos="371"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Shares granted in 2022 are presented at the stated target, which represents the base number of shares that could be earned. Actual shares earned may be below or, for certain grants, above the target based on the achievement of specific financial goals.</w:t>
      </w:r>
    </w:p>
    <w:p>
      <w:pPr>
        <w:spacing w:after="0" w:line="143" w:lineRule="exact"/>
        <w:rPr>
          <w:rFonts w:ascii="Arial" w:cs="Arial" w:eastAsia="Arial" w:hAnsi="Arial"/>
          <w:sz w:val="18"/>
          <w:szCs w:val="18"/>
          <w:color w:val="auto"/>
        </w:rPr>
      </w:pPr>
    </w:p>
    <w:p>
      <w:pPr>
        <w:ind w:left="340" w:hanging="332"/>
        <w:spacing w:after="0" w:line="261" w:lineRule="auto"/>
        <w:tabs>
          <w:tab w:leader="none" w:pos="371"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Forfeited shares include shares forfeited as a result of not meeting the performance criteria of the award as well as shares forfeited upon termination.</w:t>
      </w:r>
    </w:p>
    <w:p>
      <w:pPr>
        <w:spacing w:after="0" w:line="143" w:lineRule="exact"/>
        <w:rPr>
          <w:rFonts w:ascii="Arial" w:cs="Arial" w:eastAsia="Arial" w:hAnsi="Arial"/>
          <w:sz w:val="18"/>
          <w:szCs w:val="18"/>
          <w:color w:val="auto"/>
        </w:rPr>
      </w:pPr>
    </w:p>
    <w:p>
      <w:pPr>
        <w:ind w:left="340" w:right="120" w:hanging="332"/>
        <w:spacing w:after="0" w:line="254" w:lineRule="auto"/>
        <w:tabs>
          <w:tab w:leader="none" w:pos="371" w:val="left"/>
        </w:tabs>
        <w:numPr>
          <w:ilvl w:val="0"/>
          <w:numId w:val="42"/>
        </w:numPr>
        <w:rPr>
          <w:rFonts w:ascii="Arial" w:cs="Arial" w:eastAsia="Arial" w:hAnsi="Arial"/>
          <w:sz w:val="18"/>
          <w:szCs w:val="18"/>
          <w:color w:val="auto"/>
        </w:rPr>
      </w:pPr>
      <w:r>
        <w:rPr>
          <w:rFonts w:ascii="Arial" w:cs="Arial" w:eastAsia="Arial" w:hAnsi="Arial"/>
          <w:sz w:val="18"/>
          <w:szCs w:val="18"/>
          <w:color w:val="auto"/>
        </w:rPr>
        <w:t>Of the 478,000 nonvested performance-based shares outstanding as of December 31, 2022, 426,847 shares were unearned and subject to achievement of specific financial goals. Once earned, the awards will be subject to time-based vesting according to the terms of the award. Based on 2022 financial results, approximately 96,142 of the 426,847 unearned shares will be forfeited in the first quarter of 2023.</w:t>
      </w:r>
    </w:p>
    <w:p>
      <w:pPr>
        <w:spacing w:after="0" w:line="1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aggregate fair value of performance-based stock that vested during the years ended December 31, 2022, 2021, and 2020 was $ 5.8 million, $9.8 million, and $5.9 million, respectively. The weighted average grant date fair value per share of performance-based stock granted during 2021 and 2020 was $53.75 and $58.84, respectively.</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Stock Options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2022, the Company granted performance-based stock options which are earned by the recipients contingent upon meeting practice specific goals. Following the performance period, these awards are subject to the completion of a service period of an additional two years. These earned awards vest on a graded vesting schedule over the service period. For certain performance-based stock options, the recipients may earn additional options for performance achieved above the stated target. The performance-based stock options were granted at exercise prices equal to the fair value of the Company’s common stock on the date of grant. Compensation cost is amortized into expense over the service period, including the performance period. Our performance-based stock options have a contractual term of 7 years.</w:t>
      </w:r>
    </w:p>
    <w:p>
      <w:pPr>
        <w:spacing w:after="0" w:line="15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fair values of the performance-based stock options granted during 2022 were calculated using the Black-Scholes option pricing model using the following assumptions:</w:t>
      </w:r>
    </w:p>
    <w:tbl>
      <w:tblPr>
        <w:tblLayout w:type="fixed"/>
        <w:tblInd w:w="0" w:type="dxa"/>
        <w:tblCellMar>
          <w:top w:w="0" w:type="dxa"/>
          <w:left w:w="0" w:type="dxa"/>
          <w:bottom w:w="0" w:type="dxa"/>
          <w:right w:w="0" w:type="dxa"/>
        </w:tblCellMar>
      </w:tblPr>
      <w:tr>
        <w:trPr>
          <w:trHeight w:val="239"/>
        </w:trPr>
        <w:tc>
          <w:tcPr>
            <w:tcW w:w="8860" w:type="dxa"/>
            <w:vAlign w:val="bottom"/>
            <w:tcBorders>
              <w:bottom w:val="single" w:sz="8" w:color="CCEEFF"/>
            </w:tcBorders>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2022</w:t>
            </w:r>
          </w:p>
        </w:tc>
      </w:tr>
      <w:tr>
        <w:trPr>
          <w:trHeight w:val="210"/>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Black-Scholes performance-based option pricing model:</w:t>
            </w:r>
          </w:p>
        </w:tc>
        <w:tc>
          <w:tcPr>
            <w:tcW w:w="2380" w:type="dxa"/>
            <w:vAlign w:val="bottom"/>
            <w:shd w:val="clear" w:color="auto" w:fill="CCEEFF"/>
          </w:tcPr>
          <w:p>
            <w:pPr>
              <w:spacing w:after="0"/>
              <w:rPr>
                <w:sz w:val="18"/>
                <w:szCs w:val="18"/>
                <w:color w:val="auto"/>
              </w:rPr>
            </w:pPr>
          </w:p>
        </w:tc>
      </w:tr>
      <w:tr>
        <w:trPr>
          <w:trHeight w:val="229"/>
        </w:trPr>
        <w:tc>
          <w:tcPr>
            <w:tcW w:w="88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40.0%</w:t>
            </w:r>
          </w:p>
        </w:tc>
      </w:tr>
      <w:tr>
        <w:trPr>
          <w:trHeight w:val="230"/>
        </w:trPr>
        <w:tc>
          <w:tcPr>
            <w:tcW w:w="886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2380" w:type="dxa"/>
            <w:vAlign w:val="bottom"/>
          </w:tcPr>
          <w:p>
            <w:pPr>
              <w:jc w:val="center"/>
              <w:spacing w:after="0"/>
              <w:rPr>
                <w:sz w:val="20"/>
                <w:szCs w:val="20"/>
                <w:color w:val="auto"/>
              </w:rPr>
            </w:pPr>
            <w:r>
              <w:rPr>
                <w:rFonts w:ascii="Arial" w:cs="Arial" w:eastAsia="Arial" w:hAnsi="Arial"/>
                <w:sz w:val="18"/>
                <w:szCs w:val="18"/>
                <w:color w:val="auto"/>
              </w:rPr>
              <w:t>1.6% / 2.6%</w:t>
            </w:r>
          </w:p>
        </w:tc>
      </w:tr>
      <w:tr>
        <w:trPr>
          <w:trHeight w:val="229"/>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option life (in years)</w:t>
            </w:r>
          </w:p>
        </w:tc>
        <w:tc>
          <w:tcPr>
            <w:tcW w:w="23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4.5 years</w:t>
            </w:r>
          </w:p>
        </w:tc>
      </w:tr>
    </w:tbl>
    <w:p>
      <w:pPr>
        <w:spacing w:after="0" w:line="256"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Expected volatility was based on our historical stock prices as we believe that our historical volatility provides the most reliable indication of future volatility and sufficient historical daily stock price observations are available. The risk-free interest rate was based on the rate of U.S. Treasury bills with an equivalent expected term of the stock options at the time of the option grant. The expected option life was estimated using the simplified method, which is a weighted average of the vesting term and the contractual term, to determine the expected term.The simplified method was used due to the lack of sufficient data available to provide a reasonable basis upon which to estimate the expected term.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stock option activity for the year ended December 31, 2022 was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Number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rPr>
              <w:t>Weighted</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Weighted</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7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8"/>
              </w:rPr>
              <w:t>Average</w:t>
            </w:r>
          </w:p>
        </w:tc>
        <w:tc>
          <w:tcPr>
            <w:tcW w:w="200" w:type="dxa"/>
            <w:vAlign w:val="bottom"/>
          </w:tcPr>
          <w:p>
            <w:pPr>
              <w:spacing w:after="0"/>
              <w:rPr>
                <w:sz w:val="15"/>
                <w:szCs w:val="15"/>
                <w:color w:val="auto"/>
              </w:rPr>
            </w:pPr>
          </w:p>
        </w:tc>
        <w:tc>
          <w:tcPr>
            <w:tcW w:w="140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8"/>
              </w:rPr>
              <w:t>Aggregate</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5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rPr>
              <w:t>of</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98"/>
              </w:rPr>
              <w:t>Average</w:t>
            </w:r>
          </w:p>
        </w:tc>
        <w:tc>
          <w:tcPr>
            <w:tcW w:w="1700" w:type="dxa"/>
            <w:vAlign w:val="bottom"/>
            <w:gridSpan w:val="2"/>
          </w:tcPr>
          <w:p>
            <w:pPr>
              <w:jc w:val="center"/>
              <w:ind w:right="140"/>
              <w:spacing w:after="0" w:line="189" w:lineRule="exact"/>
              <w:rPr>
                <w:sz w:val="20"/>
                <w:szCs w:val="20"/>
                <w:color w:val="auto"/>
              </w:rPr>
            </w:pPr>
            <w:r>
              <w:rPr>
                <w:rFonts w:ascii="Arial" w:cs="Arial" w:eastAsia="Arial" w:hAnsi="Arial"/>
                <w:sz w:val="18"/>
                <w:szCs w:val="18"/>
                <w:b w:val="1"/>
                <w:bCs w:val="1"/>
                <w:color w:val="auto"/>
                <w:w w:val="99"/>
              </w:rPr>
              <w:t>Remaining</w:t>
            </w:r>
          </w:p>
        </w:tc>
        <w:tc>
          <w:tcPr>
            <w:tcW w:w="2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Performance-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9"/>
              </w:rPr>
              <w:t>Exercise</w:t>
            </w:r>
          </w:p>
        </w:tc>
        <w:tc>
          <w:tcPr>
            <w:tcW w:w="170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Contractual</w:t>
            </w:r>
          </w:p>
        </w:tc>
        <w:tc>
          <w:tcPr>
            <w:tcW w:w="200" w:type="dxa"/>
            <w:vAlign w:val="bottom"/>
          </w:tcPr>
          <w:p>
            <w:pPr>
              <w:spacing w:after="0"/>
              <w:rPr>
                <w:sz w:val="15"/>
                <w:szCs w:val="15"/>
                <w:color w:val="auto"/>
              </w:rPr>
            </w:pPr>
          </w:p>
        </w:tc>
        <w:tc>
          <w:tcPr>
            <w:tcW w:w="140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based Options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9"/>
              </w:rPr>
              <w:t>Price</w:t>
            </w:r>
          </w:p>
        </w:tc>
        <w:tc>
          <w:tcPr>
            <w:tcW w:w="17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5"/>
              </w:rPr>
              <w:t>Term</w:t>
            </w:r>
          </w:p>
        </w:tc>
        <w:tc>
          <w:tcPr>
            <w:tcW w:w="200" w:type="dxa"/>
            <w:vAlign w:val="bottom"/>
          </w:tcPr>
          <w:p>
            <w:pPr>
              <w:spacing w:after="0"/>
              <w:rPr>
                <w:sz w:val="15"/>
                <w:szCs w:val="15"/>
                <w:color w:val="auto"/>
              </w:rPr>
            </w:pPr>
          </w:p>
        </w:tc>
        <w:tc>
          <w:tcPr>
            <w:tcW w:w="140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243"/>
        </w:trPr>
        <w:tc>
          <w:tcPr>
            <w:tcW w:w="45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(in thousands)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(in dollars)</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(in years)</w:t>
            </w:r>
          </w:p>
        </w:tc>
        <w:tc>
          <w:tcPr>
            <w:tcW w:w="200" w:type="dxa"/>
            <w:vAlign w:val="bottom"/>
          </w:tcPr>
          <w:p>
            <w:pPr>
              <w:spacing w:after="0"/>
              <w:rPr>
                <w:sz w:val="21"/>
                <w:szCs w:val="21"/>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(in millions)</w:t>
            </w:r>
          </w:p>
        </w:tc>
        <w:tc>
          <w:tcPr>
            <w:tcW w:w="0" w:type="dxa"/>
            <w:vAlign w:val="bottom"/>
          </w:tcPr>
          <w:p>
            <w:pPr>
              <w:spacing w:after="0"/>
              <w:rPr>
                <w:sz w:val="1"/>
                <w:szCs w:val="1"/>
                <w:color w:val="auto"/>
              </w:rPr>
            </w:pPr>
          </w:p>
        </w:tc>
      </w:tr>
      <w:tr>
        <w:trPr>
          <w:trHeight w:val="223"/>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(2)</w:t>
            </w:r>
          </w:p>
        </w:tc>
        <w:tc>
          <w:tcPr>
            <w:tcW w:w="1580" w:type="dxa"/>
            <w:vAlign w:val="bottom"/>
          </w:tcPr>
          <w:p>
            <w:pPr>
              <w:jc w:val="right"/>
              <w:spacing w:after="0"/>
              <w:rPr>
                <w:sz w:val="20"/>
                <w:szCs w:val="20"/>
                <w:color w:val="auto"/>
              </w:rPr>
            </w:pPr>
            <w:r>
              <w:rPr>
                <w:rFonts w:ascii="Arial" w:cs="Arial" w:eastAsia="Arial" w:hAnsi="Arial"/>
                <w:sz w:val="18"/>
                <w:szCs w:val="18"/>
                <w:color w:val="auto"/>
              </w:rPr>
              <w:t>183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48.19</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expired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48.22</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Outstanding at December 31, 2022 </w:t>
            </w:r>
            <w:r>
              <w:rPr>
                <w:rFonts w:ascii="Arial" w:cs="Arial" w:eastAsia="Arial" w:hAnsi="Arial"/>
                <w:sz w:val="23"/>
                <w:szCs w:val="23"/>
                <w:color w:val="auto"/>
                <w:vertAlign w:val="superscript"/>
              </w:rPr>
              <w:t>(1)(3)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December 31, 2022</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vMerge w:val="continue"/>
          </w:tcPr>
          <w:p>
            <w:pPr>
              <w:spacing w:after="0"/>
              <w:rPr>
                <w:sz w:val="17"/>
                <w:szCs w:val="17"/>
                <w:color w:val="auto"/>
              </w:rPr>
            </w:pPr>
          </w:p>
        </w:tc>
        <w:tc>
          <w:tcPr>
            <w:tcW w:w="1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of the outstanding performance-based stock options were granted under the 2012 Omnibus Incentive Plan.</w:t>
      </w:r>
    </w:p>
    <w:p>
      <w:pPr>
        <w:spacing w:after="0" w:line="90" w:lineRule="exact"/>
        <w:rPr>
          <w:rFonts w:ascii="Arial" w:cs="Arial" w:eastAsia="Arial" w:hAnsi="Arial"/>
          <w:sz w:val="18"/>
          <w:szCs w:val="18"/>
          <w:color w:val="auto"/>
        </w:rPr>
      </w:pPr>
    </w:p>
    <w:p>
      <w:pPr>
        <w:ind w:left="340" w:right="140" w:hanging="332"/>
        <w:spacing w:after="0" w:line="256" w:lineRule="auto"/>
        <w:tabs>
          <w:tab w:leader="none" w:pos="371"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Performance-based stock options granted in 2022 are presented at the stated target, which represents the base number of options that could be earned. Actual options earned may be below or, for certain grants, above the target based on the achievement of specific financial goals.</w:t>
      </w:r>
    </w:p>
    <w:p>
      <w:pPr>
        <w:spacing w:after="0" w:line="53" w:lineRule="exact"/>
        <w:rPr>
          <w:rFonts w:ascii="Arial" w:cs="Arial" w:eastAsia="Arial" w:hAnsi="Arial"/>
          <w:sz w:val="18"/>
          <w:szCs w:val="18"/>
          <w:color w:val="auto"/>
        </w:rPr>
      </w:pPr>
    </w:p>
    <w:p>
      <w:pPr>
        <w:ind w:left="340" w:right="80" w:hanging="332"/>
        <w:spacing w:after="0" w:line="256" w:lineRule="auto"/>
        <w:tabs>
          <w:tab w:leader="none" w:pos="37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of the outstanding performance-based stock options as of December 31, 2022 were unearned and subject to achievement of specific financial goals. Once earned, the options will be subject to time-based vesting according to the terms of the award. Based on 2022 financial results, approximately 47,835 of the 171,000 unearned options will be forfeited in the first quarter of 2023.</w:t>
      </w:r>
    </w:p>
    <w:p>
      <w:pPr>
        <w:spacing w:after="0" w:line="14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weighted average grant date fair value of stock options granted during 2022 was $17.00. No performance-based stock options were granted or exercised in 2021 and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Time-vested Stock Options</w:t>
      </w:r>
    </w:p>
    <w:p>
      <w:pPr>
        <w:spacing w:after="0" w:line="19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 prior years, we have granted stock options to certain employees that are solely earned based on the completion of the stated service period. These time-vested stock options were granted at exercise prices equal to the fair value of the Company’s common stock on the date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of grant. No time-vested stock option awards were granted in 2022 or 2020. Subject to acceleration under certain conditions, these time-vested stock options vest annually over four years. Our time-vested stock options have a contractual term between 7 and 10 years.</w:t>
      </w:r>
    </w:p>
    <w:p>
      <w:pPr>
        <w:spacing w:after="0" w:line="14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fair value of the time-vested stock options granted during 2021 were calculated using the Black-Scholes option pricing model using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860" w:type="dxa"/>
            <w:vAlign w:val="bottom"/>
            <w:tcBorders>
              <w:bottom w:val="single" w:sz="8" w:color="CCEEFF"/>
            </w:tcBorders>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r>
      <w:tr>
        <w:trPr>
          <w:trHeight w:val="210"/>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Black-Scholes time-vested option pricing model:</w:t>
            </w:r>
          </w:p>
        </w:tc>
        <w:tc>
          <w:tcPr>
            <w:tcW w:w="2380" w:type="dxa"/>
            <w:vAlign w:val="bottom"/>
            <w:shd w:val="clear" w:color="auto" w:fill="CCEEFF"/>
          </w:tcPr>
          <w:p>
            <w:pPr>
              <w:spacing w:after="0"/>
              <w:rPr>
                <w:sz w:val="18"/>
                <w:szCs w:val="18"/>
                <w:color w:val="auto"/>
              </w:rPr>
            </w:pPr>
          </w:p>
        </w:tc>
      </w:tr>
      <w:tr>
        <w:trPr>
          <w:trHeight w:val="229"/>
        </w:trPr>
        <w:tc>
          <w:tcPr>
            <w:tcW w:w="88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40.0%</w:t>
            </w:r>
          </w:p>
        </w:tc>
      </w:tr>
      <w:tr>
        <w:trPr>
          <w:trHeight w:val="229"/>
        </w:trPr>
        <w:tc>
          <w:tcPr>
            <w:tcW w:w="886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2380" w:type="dxa"/>
            <w:vAlign w:val="bottom"/>
          </w:tcPr>
          <w:p>
            <w:pPr>
              <w:jc w:val="center"/>
              <w:spacing w:after="0"/>
              <w:rPr>
                <w:sz w:val="20"/>
                <w:szCs w:val="20"/>
                <w:color w:val="auto"/>
              </w:rPr>
            </w:pPr>
            <w:r>
              <w:rPr>
                <w:rFonts w:ascii="Arial" w:cs="Arial" w:eastAsia="Arial" w:hAnsi="Arial"/>
                <w:sz w:val="18"/>
                <w:szCs w:val="18"/>
                <w:color w:val="auto"/>
              </w:rPr>
              <w:t>0.9%</w:t>
            </w:r>
          </w:p>
        </w:tc>
      </w:tr>
      <w:tr>
        <w:trPr>
          <w:trHeight w:val="229"/>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option life (in years)</w:t>
            </w:r>
          </w:p>
        </w:tc>
        <w:tc>
          <w:tcPr>
            <w:tcW w:w="23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4.75 years</w:t>
            </w:r>
          </w:p>
        </w:tc>
      </w:tr>
    </w:tbl>
    <w:p>
      <w:pPr>
        <w:spacing w:after="0" w:line="256"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Expected volatility was based on our historical stock prices as we believe that our historical volatility provides the most reliable indication of future volatility and sufficient historical daily stock price observations are available. The risk-free interest rate was based on the rate of U.S. Treasury bills with an equivalent expected term of the stock options at the time of the option grant. The expected option life was estimated using the simplified method, which is a weighted average of the vesting term and the contractual term, to determine the expected term. The simplified method was used due to the lack of sufficient data available to provide a reasonable basis upon which to estimate the expected term.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Time-vested stock option activity for the year ended December 31, 2022 was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Number</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rPr>
              <w:t>Weighted</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Weighted</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7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8"/>
              </w:rPr>
              <w:t>Average</w:t>
            </w:r>
          </w:p>
        </w:tc>
        <w:tc>
          <w:tcPr>
            <w:tcW w:w="200" w:type="dxa"/>
            <w:vAlign w:val="bottom"/>
          </w:tcPr>
          <w:p>
            <w:pPr>
              <w:spacing w:after="0"/>
              <w:rPr>
                <w:sz w:val="15"/>
                <w:szCs w:val="15"/>
                <w:color w:val="auto"/>
              </w:rPr>
            </w:pPr>
          </w:p>
        </w:tc>
        <w:tc>
          <w:tcPr>
            <w:tcW w:w="140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8"/>
              </w:rPr>
              <w:t>Aggregate</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5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rPr>
              <w:t>of</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98"/>
              </w:rPr>
              <w:t>Average</w:t>
            </w:r>
          </w:p>
        </w:tc>
        <w:tc>
          <w:tcPr>
            <w:tcW w:w="1700" w:type="dxa"/>
            <w:vAlign w:val="bottom"/>
            <w:gridSpan w:val="2"/>
          </w:tcPr>
          <w:p>
            <w:pPr>
              <w:jc w:val="center"/>
              <w:ind w:right="140"/>
              <w:spacing w:after="0" w:line="189" w:lineRule="exact"/>
              <w:rPr>
                <w:sz w:val="20"/>
                <w:szCs w:val="20"/>
                <w:color w:val="auto"/>
              </w:rPr>
            </w:pPr>
            <w:r>
              <w:rPr>
                <w:rFonts w:ascii="Arial" w:cs="Arial" w:eastAsia="Arial" w:hAnsi="Arial"/>
                <w:sz w:val="18"/>
                <w:szCs w:val="18"/>
                <w:b w:val="1"/>
                <w:bCs w:val="1"/>
                <w:color w:val="auto"/>
                <w:w w:val="99"/>
              </w:rPr>
              <w:t>Remaining</w:t>
            </w:r>
          </w:p>
        </w:tc>
        <w:tc>
          <w:tcPr>
            <w:tcW w:w="2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8"/>
              </w:rPr>
              <w:t>Time-vested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9"/>
              </w:rPr>
              <w:t>Exercise</w:t>
            </w:r>
          </w:p>
        </w:tc>
        <w:tc>
          <w:tcPr>
            <w:tcW w:w="170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Contractual</w:t>
            </w:r>
          </w:p>
        </w:tc>
        <w:tc>
          <w:tcPr>
            <w:tcW w:w="200" w:type="dxa"/>
            <w:vAlign w:val="bottom"/>
          </w:tcPr>
          <w:p>
            <w:pPr>
              <w:spacing w:after="0"/>
              <w:rPr>
                <w:sz w:val="15"/>
                <w:szCs w:val="15"/>
                <w:color w:val="auto"/>
              </w:rPr>
            </w:pPr>
          </w:p>
        </w:tc>
        <w:tc>
          <w:tcPr>
            <w:tcW w:w="140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Options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9"/>
              </w:rPr>
              <w:t>Price</w:t>
            </w:r>
          </w:p>
        </w:tc>
        <w:tc>
          <w:tcPr>
            <w:tcW w:w="17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5"/>
              </w:rPr>
              <w:t>Term</w:t>
            </w:r>
          </w:p>
        </w:tc>
        <w:tc>
          <w:tcPr>
            <w:tcW w:w="200" w:type="dxa"/>
            <w:vAlign w:val="bottom"/>
          </w:tcPr>
          <w:p>
            <w:pPr>
              <w:spacing w:after="0"/>
              <w:rPr>
                <w:sz w:val="15"/>
                <w:szCs w:val="15"/>
                <w:color w:val="auto"/>
              </w:rPr>
            </w:pPr>
          </w:p>
        </w:tc>
        <w:tc>
          <w:tcPr>
            <w:tcW w:w="140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 thousands)</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(in dollars)</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 years)</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8"/>
              </w:rPr>
              <w:t>(in millions)</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expired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Outstanding at December 31, 2022 </w:t>
            </w:r>
            <w:r>
              <w:rPr>
                <w:rFonts w:ascii="Arial" w:cs="Arial" w:eastAsia="Arial" w:hAnsi="Arial"/>
                <w:sz w:val="23"/>
                <w:szCs w:val="23"/>
                <w:color w:val="auto"/>
                <w:vertAlign w:val="superscript"/>
              </w:rPr>
              <w:t>(1)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December 31, 2022</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vMerge w:val="continue"/>
          </w:tcPr>
          <w:p>
            <w:pPr>
              <w:spacing w:after="0"/>
              <w:rPr>
                <w:sz w:val="17"/>
                <w:szCs w:val="17"/>
                <w:color w:val="auto"/>
              </w:rPr>
            </w:pPr>
          </w:p>
        </w:tc>
        <w:tc>
          <w:tcPr>
            <w:tcW w:w="1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w:t>
            </w:r>
          </w:p>
        </w:tc>
        <w:tc>
          <w:tcPr>
            <w:tcW w:w="3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48.15</w:t>
            </w:r>
          </w:p>
        </w:tc>
        <w:tc>
          <w:tcPr>
            <w:tcW w:w="12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3.9</w:t>
            </w:r>
          </w:p>
        </w:tc>
        <w:tc>
          <w:tcPr>
            <w:tcW w:w="12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(1)  All of the outstanding time-vested stock options were granted under the 2012 Omnibus Incentive Plan.</w:t>
      </w:r>
    </w:p>
    <w:p>
      <w:pPr>
        <w:spacing w:after="0" w:line="171"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weighted average grant date fair value of the time-vested stock options granted during 2021 was $18.42. No time-vested stock options were granted in 2022 and 2020. The aggregate intrinsic value of time-vested stock options exercised during 2021 and 2020 was $0.4 million and $1.1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19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March 2020, the Coronavirus Aid, Relief, and Economic Security Act ("CARES Act") was signed into law, which is an approximately $2 trillion emergency economic stimulus package in response to the COVID-19 outbreak, which among other items, includes income tax provisions relating to net operating loss carryback period, options to defer payroll tax payments for a limited period and technical corrections to tax depreciation methods for qualified improvement property. As a result of the CARES Act, we recognized a $1.5 million tax benefit related to the remeasurement of a portion of our income tax receivable for the federal net operating losses incurred in 2018 and 2020 that were carried back to prior year income, both for a refund at the higher, prior year tax rate. As a result of electing the retroactive Global Intangible Low-Taxed Income (“GILTI”) high-tax exclusion in the second quarter of 2021, we recognized a $1.0 million tax benefit of which $0.4 million related to carrying back our increased 2018 federal net operating loss to prior year income for a refund at the higher, prior year tax rate. During the third quarter of 2021, we recognized an additional tax benefit of $2.0 million, primarily related to the U.S. federal return to provision adjustments for carrying back our increased 2020 federal net operating loss to prior year income for a refund at the higher, prior year tax rate. During 2020, we deferred $12.2 million of payroll tax payments, which was all repaid in the third quarter of 2021.</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expense for continuing operations for the years ended December 31, 2022, 2021, and 2020 consisted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6100" w:type="dxa"/>
            <w:vAlign w:val="bottom"/>
          </w:tcPr>
          <w:p>
            <w:pPr>
              <w:ind w:left="36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7,130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(2,480)</w:t>
            </w:r>
          </w:p>
        </w:tc>
      </w:tr>
      <w:tr>
        <w:trPr>
          <w:trHeight w:val="229"/>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r>
      <w:tr>
        <w:trPr>
          <w:trHeight w:val="223"/>
        </w:trPr>
        <w:tc>
          <w:tcPr>
            <w:tcW w:w="6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10"/>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w:t>
            </w:r>
          </w:p>
        </w:tc>
      </w:tr>
      <w:tr>
        <w:trPr>
          <w:trHeight w:val="229"/>
        </w:trPr>
        <w:tc>
          <w:tcPr>
            <w:tcW w:w="6100" w:type="dxa"/>
            <w:vAlign w:val="bottom"/>
          </w:tcPr>
          <w:p>
            <w:pPr>
              <w:ind w:left="36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(2,025)</w:t>
            </w:r>
          </w:p>
        </w:tc>
      </w:tr>
      <w:tr>
        <w:trPr>
          <w:trHeight w:val="230"/>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3"/>
        </w:trPr>
        <w:tc>
          <w:tcPr>
            <w:tcW w:w="61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(9,859)</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for continuing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from continuing operations before taxes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6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(35,054)</w:t>
            </w:r>
          </w:p>
        </w:tc>
      </w:tr>
      <w:tr>
        <w:trPr>
          <w:trHeight w:val="230"/>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w:t>
            </w: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(33,873)</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income tax rate to our effective tax rate for continuing operations is as follows:</w:t>
      </w:r>
    </w:p>
    <w:p>
      <w:pPr>
        <w:spacing w:after="0" w:line="190"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4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80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19"/>
                <w:szCs w:val="19"/>
                <w:color w:val="auto"/>
              </w:rPr>
            </w:pPr>
          </w:p>
        </w:tc>
      </w:tr>
      <w:tr>
        <w:trPr>
          <w:trHeight w:val="210"/>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 of pretax income from continuing operations:</w:t>
            </w:r>
          </w:p>
        </w:tc>
        <w:tc>
          <w:tcPr>
            <w:tcW w:w="10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At U.S. statutory tax rate</w:t>
            </w:r>
          </w:p>
        </w:tc>
        <w:tc>
          <w:tcPr>
            <w:tcW w:w="62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21.0 %</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21.0 %</w:t>
            </w:r>
          </w:p>
        </w:tc>
        <w:tc>
          <w:tcPr>
            <w:tcW w:w="40" w:type="dxa"/>
            <w:vAlign w:val="bottom"/>
          </w:tcPr>
          <w:p>
            <w:pPr>
              <w:spacing w:after="0"/>
              <w:rPr>
                <w:sz w:val="19"/>
                <w:szCs w:val="19"/>
                <w:color w:val="auto"/>
              </w:rPr>
            </w:pPr>
          </w:p>
        </w:tc>
      </w:tr>
      <w:tr>
        <w:trPr>
          <w:trHeight w:val="229"/>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 income taxes, net of federal benefit</w:t>
            </w: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r>
      <w:tr>
        <w:trPr>
          <w:trHeight w:val="230"/>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Valuation allowance</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9"/>
                <w:szCs w:val="19"/>
                <w:color w:val="auto"/>
              </w:rPr>
            </w:pPr>
          </w:p>
        </w:tc>
      </w:tr>
      <w:tr>
        <w:trPr>
          <w:trHeight w:val="230"/>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Disallowed executive compensation</w:t>
            </w: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9"/>
                <w:szCs w:val="19"/>
                <w:color w:val="auto"/>
              </w:rPr>
            </w:pPr>
          </w:p>
        </w:tc>
      </w:tr>
      <w:tr>
        <w:trPr>
          <w:trHeight w:val="230"/>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Realized investment gains/losses</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r>
      <w:tr>
        <w:trPr>
          <w:trHeight w:val="229"/>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source income</w:t>
            </w: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9"/>
                <w:szCs w:val="19"/>
                <w:color w:val="auto"/>
              </w:rPr>
            </w:pPr>
          </w:p>
        </w:tc>
      </w:tr>
      <w:tr>
        <w:trPr>
          <w:trHeight w:val="230"/>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Meals and entertainment</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9"/>
                <w:szCs w:val="19"/>
                <w:color w:val="auto"/>
              </w:rPr>
            </w:pPr>
          </w:p>
        </w:tc>
      </w:tr>
      <w:tr>
        <w:trPr>
          <w:trHeight w:val="230"/>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9"/>
                <w:szCs w:val="19"/>
                <w:color w:val="auto"/>
              </w:rPr>
            </w:pPr>
          </w:p>
        </w:tc>
      </w:tr>
      <w:tr>
        <w:trPr>
          <w:trHeight w:val="230"/>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Deferred tax adjustments</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r>
      <w:tr>
        <w:trPr>
          <w:trHeight w:val="229"/>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Tax credits</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9"/>
                <w:szCs w:val="19"/>
                <w:color w:val="auto"/>
              </w:rPr>
            </w:pPr>
          </w:p>
        </w:tc>
      </w:tr>
      <w:tr>
        <w:trPr>
          <w:trHeight w:val="230"/>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CARES Act net operating loss carryback</w:t>
            </w:r>
          </w:p>
        </w:tc>
        <w:tc>
          <w:tcPr>
            <w:tcW w:w="1800" w:type="dxa"/>
            <w:vAlign w:val="bottom"/>
            <w:gridSpan w:val="3"/>
          </w:tcPr>
          <w:p>
            <w:pPr>
              <w:jc w:val="right"/>
              <w:ind w:right="14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r>
      <w:tr>
        <w:trPr>
          <w:trHeight w:val="230"/>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Goodwill impairment charges</w:t>
            </w:r>
          </w:p>
        </w:tc>
        <w:tc>
          <w:tcPr>
            <w:tcW w:w="1800" w:type="dxa"/>
            <w:vAlign w:val="bottom"/>
            <w:gridSpan w:val="3"/>
            <w:shd w:val="clear" w:color="auto" w:fill="CCEEFF"/>
          </w:tcPr>
          <w:p>
            <w:pPr>
              <w:jc w:val="right"/>
              <w:ind w:right="14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r>
      <w:tr>
        <w:trPr>
          <w:trHeight w:val="230"/>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Unrecognized tax benefits</w:t>
            </w:r>
          </w:p>
        </w:tc>
        <w:tc>
          <w:tcPr>
            <w:tcW w:w="1800" w:type="dxa"/>
            <w:vAlign w:val="bottom"/>
            <w:gridSpan w:val="3"/>
          </w:tcPr>
          <w:p>
            <w:pPr>
              <w:jc w:val="right"/>
              <w:ind w:right="14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r>
      <w:tr>
        <w:trPr>
          <w:trHeight w:val="229"/>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9"/>
                <w:szCs w:val="19"/>
                <w:color w:val="auto"/>
              </w:rPr>
            </w:pPr>
          </w:p>
        </w:tc>
      </w:tr>
      <w:tr>
        <w:trPr>
          <w:trHeight w:val="223"/>
        </w:trPr>
        <w:tc>
          <w:tcPr>
            <w:tcW w:w="5940" w:type="dxa"/>
            <w:vAlign w:val="bottom"/>
          </w:tcPr>
          <w:p>
            <w:pPr>
              <w:ind w:left="680"/>
              <w:spacing w:after="0"/>
              <w:rPr>
                <w:sz w:val="20"/>
                <w:szCs w:val="20"/>
                <w:color w:val="auto"/>
              </w:rPr>
            </w:pPr>
            <w:r>
              <w:rPr>
                <w:rFonts w:ascii="Arial" w:cs="Arial" w:eastAsia="Arial" w:hAnsi="Arial"/>
                <w:sz w:val="18"/>
                <w:szCs w:val="18"/>
                <w:color w:val="auto"/>
              </w:rPr>
              <w:t>Effective income tax rate for continuing operations</w:t>
            </w:r>
          </w:p>
        </w:tc>
        <w:tc>
          <w:tcPr>
            <w:tcW w:w="10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30.4 %</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21.3 %</w:t>
            </w:r>
          </w:p>
        </w:tc>
        <w:tc>
          <w:tcPr>
            <w:tcW w:w="1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30.0 %</w:t>
            </w:r>
          </w:p>
        </w:tc>
        <w:tc>
          <w:tcPr>
            <w:tcW w:w="4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85"/>
        </w:trPr>
        <w:tc>
          <w:tcPr>
            <w:tcW w:w="7000" w:type="dxa"/>
            <w:vAlign w:val="bottom"/>
            <w:gridSpan w:val="2"/>
          </w:tcPr>
          <w:p>
            <w:pPr>
              <w:ind w:left="5440"/>
              <w:spacing w:after="0"/>
              <w:rPr>
                <w:sz w:val="20"/>
                <w:szCs w:val="20"/>
                <w:color w:val="auto"/>
              </w:rPr>
            </w:pPr>
            <w:r>
              <w:rPr>
                <w:rFonts w:ascii="Arial" w:cs="Arial" w:eastAsia="Arial" w:hAnsi="Arial"/>
                <w:sz w:val="18"/>
                <w:szCs w:val="18"/>
                <w:color w:val="auto"/>
              </w:rPr>
              <w:t>F-36</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59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 (liability) balance at December 31, 2022 and 2021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5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0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15,249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17,542</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8,062</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Deferred compensation liability</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10,331</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payroll and payroll related liabilities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1,243</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credits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r>
      <w:tr>
        <w:trPr>
          <w:trHeight w:val="230"/>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deferred tax assets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46,660</w:t>
            </w:r>
          </w:p>
        </w:tc>
      </w:tr>
      <w:tr>
        <w:trPr>
          <w:trHeight w:val="230"/>
        </w:trPr>
        <w:tc>
          <w:tcPr>
            <w:tcW w:w="756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Valuation allowance</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(2,876)</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deferred tax assets</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43,784</w:t>
            </w:r>
          </w:p>
        </w:tc>
      </w:tr>
      <w:tr>
        <w:trPr>
          <w:trHeight w:val="210"/>
        </w:trPr>
        <w:tc>
          <w:tcPr>
            <w:tcW w:w="75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Intangibles and goodwill</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(9,837)</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investment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Convertible debt investment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(6,604)</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Software development costs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(2,730)</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r>
      <w:tr>
        <w:trPr>
          <w:trHeight w:val="229"/>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w:t>
            </w:r>
          </w:p>
        </w:tc>
      </w:tr>
      <w:tr>
        <w:trPr>
          <w:trHeight w:val="223"/>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deferred tax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(54,253)</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Net deferred tax liabilities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(10,469)</w:t>
            </w:r>
          </w:p>
        </w:tc>
      </w:tr>
      <w:tr>
        <w:trPr>
          <w:trHeight w:val="20"/>
        </w:trPr>
        <w:tc>
          <w:tcPr>
            <w:tcW w:w="7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December 31, 2022 and 2021, we had valuation allowances of $ 5.7 million and $2.9 million, respectively, primarily due to uncertainties relating to the ability to realize deferred tax assets recorded for foreign losses and tax credits. The increase in valuation allowances in 2022 primarily related to an increase in foreign losses.</w:t>
      </w:r>
    </w:p>
    <w:p>
      <w:pPr>
        <w:spacing w:after="0" w:line="148"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We have foreign net operating losses of $3.2 million which begin to expire in 2027 and state net operating loss carryforwards of $ 0.1 million which will begin to expire in 2040, if not utilized. We have federal tax credit carryforwards of $1.8 million which will begin to expire in 2030, if not utilized.</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fifty percent likelihood of being realized upon ultimate resolution.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our beginning and ending amount of unrecognized tax benefits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Unrecognized Tax Benefits</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Additions based on tax positions related to prior years</w:t>
            </w:r>
          </w:p>
        </w:tc>
        <w:tc>
          <w:tcPr>
            <w:tcW w:w="3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0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300" w:type="dxa"/>
            <w:vAlign w:val="bottom"/>
          </w:tcPr>
          <w:p>
            <w:pPr>
              <w:spacing w:after="0"/>
              <w:rPr>
                <w:sz w:val="19"/>
                <w:szCs w:val="19"/>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744</w:t>
            </w: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due to laps of statue of limitations</w:t>
            </w:r>
          </w:p>
        </w:tc>
        <w:tc>
          <w:tcPr>
            <w:tcW w:w="300" w:type="dxa"/>
            <w:vAlign w:val="bottom"/>
            <w:shd w:val="clear" w:color="auto" w:fill="CCEEFF"/>
          </w:tcPr>
          <w:p>
            <w:pPr>
              <w:spacing w:after="0"/>
              <w:rPr>
                <w:sz w:val="19"/>
                <w:szCs w:val="19"/>
                <w:color w:val="auto"/>
              </w:rPr>
            </w:pP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Decrease based on tax positions related to prior years</w:t>
            </w:r>
          </w:p>
        </w:tc>
        <w:tc>
          <w:tcPr>
            <w:tcW w:w="3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As December 31, 2022 and 2021, we had $0.6 million and $0.7 million of unrecognized tax benefits, respectively, which would affect the effective tax rate of continuing operations if recognized. It is reasonably possible that approximately $0.6 million of the liability for</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09"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unrecognized tax benefits at December 31, 2022 could decrease in the next twelve months primarily due to the expiration of statutes of limitations.</w:t>
      </w:r>
    </w:p>
    <w:p>
      <w:pPr>
        <w:spacing w:after="0" w:line="14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As of both December 31, 2022 and 2021, we had $0.1 million accrued for the potential payment of interest and penalties. Accrued interest and penalties are recorded as a component of provision for income taxes on our consolidated statement of operations.</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file income tax returns with federal, state, local and foreign jurisdictions. Tax years 2019 through 2021 are subject to future examinations by federal tax authorities. Tax years 2016 through 2021 are subject to future examinations by state and local tax authorities. Our foreign income tax filings are subject to future examinations by the local foreign tax authorities for tax years 2017 through 2021. Currently, we are not under audit by any tax authority.</w:t>
      </w:r>
    </w:p>
    <w:p>
      <w:pPr>
        <w:spacing w:after="0" w:line="128" w:lineRule="exact"/>
        <w:rPr>
          <w:sz w:val="20"/>
          <w:szCs w:val="20"/>
          <w:color w:val="auto"/>
        </w:rPr>
      </w:pPr>
    </w:p>
    <w:p>
      <w:pPr>
        <w:ind w:right="6960" w:firstLine="8"/>
        <w:spacing w:after="0" w:line="451" w:lineRule="auto"/>
        <w:tabs>
          <w:tab w:leader="none" w:pos="3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Lease Commitments</w:t>
      </w:r>
    </w:p>
    <w:p>
      <w:pPr>
        <w:ind w:right="220"/>
        <w:spacing w:after="0" w:line="253" w:lineRule="auto"/>
        <w:rPr>
          <w:sz w:val="20"/>
          <w:szCs w:val="20"/>
          <w:color w:val="auto"/>
        </w:rPr>
      </w:pPr>
      <w:r>
        <w:rPr>
          <w:rFonts w:ascii="Arial" w:cs="Arial" w:eastAsia="Arial" w:hAnsi="Arial"/>
          <w:sz w:val="18"/>
          <w:szCs w:val="18"/>
          <w:color w:val="auto"/>
        </w:rPr>
        <w:t>We lease office space, data centers and certain equipment under non-cancelable operating lease arrangements expiring on various dates through 2029, with various renewal options. Office facilities under operating leases include fixed payments plus, in some cases, scheduled base rent increases over the term of the lease. Certain leases require variable payments of real estate taxes, insurance and operating expenses. See Note 5 “Leases” for additional information on our leases, including the remaining expected lease payments under our operating leases as of December 31,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Oaktree</w:t>
      </w:r>
    </w:p>
    <w:p>
      <w:pPr>
        <w:spacing w:after="0" w:line="18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November 9, 2018, Huron Consulting Services LLC, a wholly owned subsidiary of Huron, was engaged by Oaktree Medical Centre LLC, a management services organization (“Oaktree”), to perform interim management and financial advisory services. As part of the services, a Huron employee was appointed by Oaktree’s board of directors to serve as Chief Restructuring Officer of Oaktree (the “CRO”). The engagement letter through which Oaktree retained Huron’s services (the “Engagement Letter”) states that all disputes or claims arising thereunder are subject to binding arbitration, disclaims special, consequential, incidental and exemplary damages and losses and caps liability to the fees paid for the portion of the engagement giving rise to any liability. On September 19, 2019, Oaktree and certain of its affiliates filed for Chapter 7 liquidation in the U.S. Bankruptcy Court for the Western District of North Carolina, with the cases subsequently transferred to the District of South Carolina. As a result of the bankruptcy filing, a Chapter 7 trustee was appointed to oversee the bankruptcy estates, at which time Huron’s services for Oaktree concluded.</w:t>
      </w:r>
    </w:p>
    <w:p>
      <w:pPr>
        <w:spacing w:after="0" w:line="15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In April 2021, Trustee’s counsel communicated in writing to Huron its intent to pursue various claims against Huron and the CRO, among others, on behalf of the bankruptcy estates related to the services carried out by Huron and the CRO during the engagement.</w:t>
      </w:r>
    </w:p>
    <w:p>
      <w:pPr>
        <w:spacing w:after="0" w:line="14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September 17, 2021, the Trustee filed a complaint in the Bankruptcy Court for the District of South Carolina against Huron and the CRO, among others (the “Complaint”), alleging breach of fiduciary duty, aiding and abetting a breach of fiduciary duty, negligence, violations of the South Carolina Unfair Trade Practices Act, fraud, civil conspiracy, unjust enrichment, and recovery of avoided transfers under sections 547, 548 and 550 of the Bankruptcy Code. On December 7, 2021, the Trustee filed an amended version of the Complaint (the “Amended Complaint”), generally alleging the same claims asserted in the initial Complaint but (i) removing the claim for a violation of the South Carolina Unfair Trade Practices Act and (ii) adding a claim for breach of contract.</w:t>
      </w:r>
    </w:p>
    <w:p>
      <w:pPr>
        <w:spacing w:after="0" w:line="15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Amended Complaint, the Trustee asserted that Huron and the CRO, among others, did not develop and implement a Chapter 11 restructuring plan on a timely basis and that their failure to do so led to significant damages. The Trustee sought an unspecified amount of monetary damages in the Amended Complaint. We believe the Trustee’s allegations with respect to Huron and the CRO are without merit. On December 21, 2021, we filed a motion to dismiss all of the claims in the Amended Complaint. On April 19, 2022, the bankruptcy court entered an order staying all of the Trustee’s claims against Huron and the CRO after (i) finding that the state law claims were subject to arbitration and (ii) exercising its discretion to stay the non-state-law claims pending the arbitration proceeding. The Trustee did not appeal the court’s order prior to the deadline of May 3, 2022. In October 2022, Huron, the CRO and the Trustee reached agreement on a settlement which provides for the Trustee’s dismissal of the Amended Complaint with prejudice as it relates to Huron and the CRO and a mutual release of claims in exchange for a settlement payment to the Trustee of $1.5 million. As a result, we increased our accrued liability and insurance receivable to $1.5 million as of September 30, 2022, which had a net zero impact in our consolidated statement of operations. In the fourth quarter of 2022, the settlement agreement was approved by the Bankruptcy Court and the settlement payment was made to the Trustee. Thereafter, the case was dismissed with prejudice as it relates to Huron and the CRO.</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Guarantees in the form of letters of credit totaling $0.7 million were outstanding at both December 31, 2022 and 2021 to support certain office lease obligations.</w:t>
      </w:r>
    </w:p>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December 31, 2022 and 2021, the total estimated fair value of our outstanding contingent consideration liability was $3.2 million and $3.7 million, respectively.</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Information</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Education, and Commercial.</w:t>
      </w:r>
    </w:p>
    <w:p>
      <w:pPr>
        <w:spacing w:after="0" w:line="151"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Effective January 1, 2022, we modified our operating model to expand and more deeply integrate our industry expertise with our digital, strategic and financial advisory capabilities. The new operating model strengthens Huron’s go-to-market strategy, drives efficiencies that support margin expansion, and positions the company to accelerate growth.</w:t>
      </w:r>
    </w:p>
    <w:p>
      <w:pPr>
        <w:spacing w:after="0" w:line="14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To align with the new operating model, effective with reporting for periods beginning January 1, 2022, we began reporting under the following three industries, which are our reportable segments: Healthcare, Education and Commercial. The Commercial segment includes all industries outside of healthcare and education, including, but not limited to, financial services and energy and utilities. In the new reporting structure, each segment includes all revenue and costs associated with engagements delivered in the respective segments' industries. The new Healthcare and Education segments include some revenue and costs historically reported in the Business Advisory segment and the Healthcare segment includes some revenue and costs historically reported in the Education segment. We also provide revenue reporting across two principal capabilities: i) Consulting and Managed Services and ii) Digital. These changes improve visibility into the core drivers of our business. While our consolidated results have not been impacted, our historical segment information has been recast for consistent presentation.</w:t>
      </w:r>
    </w:p>
    <w:p>
      <w:pPr>
        <w:spacing w:after="0" w:line="136"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Healthcare</w:t>
      </w:r>
    </w:p>
    <w:p>
      <w:pPr>
        <w:spacing w:after="0" w:line="193" w:lineRule="exact"/>
        <w:rPr>
          <w:rFonts w:ascii="Arial" w:cs="Arial" w:eastAsia="Arial" w:hAnsi="Arial"/>
          <w:sz w:val="18"/>
          <w:szCs w:val="18"/>
          <w:color w:val="auto"/>
        </w:rPr>
      </w:pPr>
    </w:p>
    <w:p>
      <w:pPr>
        <w:ind w:left="660" w:right="60"/>
        <w:spacing w:after="0" w:line="267" w:lineRule="auto"/>
        <w:rPr>
          <w:rFonts w:ascii="Arial" w:cs="Arial" w:eastAsia="Arial" w:hAnsi="Arial"/>
          <w:sz w:val="18"/>
          <w:szCs w:val="18"/>
          <w:color w:val="auto"/>
        </w:rPr>
      </w:pPr>
      <w:r>
        <w:rPr>
          <w:rFonts w:ascii="Arial" w:cs="Arial" w:eastAsia="Arial" w:hAnsi="Arial"/>
          <w:sz w:val="17"/>
          <w:szCs w:val="17"/>
          <w:color w:val="auto"/>
        </w:rPr>
        <w:t>Our Healthcare segment serves acute care providers, including national and regional health systems; academic health systems; community health systems; and public, children’s and critical access hospitals, and non-acute care providers, including physician practices and medical groups; payors; and long-term care or post-acute providers. Our Healthcare professionals have a depth of expertise in business operations, including financial and operational improvement, care transformation, and revenue cycle managed services; digital solutions, spanning technology and analytic-related services and a portfolio of software products; organizational transformation; financial advisory and strategy and innovation. Healthcare organizations are focused on establishing a sustainable long-term strategy and business model centered around growth, optimal cost structures, reimbursement models, financial strategies, and consumer-focused digital transformation; changing the way care is delivered, particularly in light of personnel shortages, and improving access to care; and evolving their digital capabilities to more effectively manage their business. Our solutions help clients adapt to this rapidly changing healthcare environment to become a more agile, efficient and consumer-centric organization. We use our deep industry, functional and technical expertise to help clients solve a diverse set of business issues, including, but not limited to, identifying new opportunities for growth, optimizing financial and operational performance, improving care delivery and clinical outcomes, increasing physician, patient and employee satisfaction, and maximizing return on technology investments.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8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93" w:lineRule="exact"/>
        <w:rPr>
          <w:rFonts w:ascii="Arial" w:cs="Arial" w:eastAsia="Arial" w:hAnsi="Arial"/>
          <w:sz w:val="18"/>
          <w:szCs w:val="18"/>
          <w:color w:val="auto"/>
        </w:rPr>
      </w:pPr>
    </w:p>
    <w:p>
      <w:pPr>
        <w:ind w:left="660"/>
        <w:spacing w:after="0" w:line="251" w:lineRule="auto"/>
        <w:rPr>
          <w:rFonts w:ascii="Arial" w:cs="Arial" w:eastAsia="Arial" w:hAnsi="Arial"/>
          <w:sz w:val="18"/>
          <w:szCs w:val="18"/>
          <w:color w:val="auto"/>
        </w:rPr>
      </w:pPr>
      <w:r>
        <w:rPr>
          <w:rFonts w:ascii="Arial" w:cs="Arial" w:eastAsia="Arial" w:hAnsi="Arial"/>
          <w:sz w:val="18"/>
          <w:szCs w:val="18"/>
          <w:color w:val="auto"/>
        </w:rPr>
        <w:t>Our Education segment serves public and private colleges and universities, research institutes and other education-related organizations. Our Education professionals have a depth of expertise in strategy and innovation; business operations, including the research enterprise and student and alumni lifecycle; digital solutions, spanning technology and analytic-related services and Huron Research Suite, the leading software suite designed to facilitate and improve research administration service delivery and compliance; and organizational transformation. Our Education segment clients are increasingly faced with strategic, financial and/or enrollment challenges, increased competition, and a need to modernize their businesses using technology to advance their missions. We combine our deep industry, functional and technical expertise to help clients solve their most pressing challenges, including, but not limited to, transforming business operations with technology and analytics; strengthening research strategies and support services; evolving their organizational strategy; optimizing financial and operational performance; applying innovative enrollment strategies; and enhancing the student lifecycle.</w:t>
      </w:r>
    </w:p>
    <w:p>
      <w:pPr>
        <w:spacing w:after="0" w:line="13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Commercial</w:t>
      </w:r>
    </w:p>
    <w:p>
      <w:pPr>
        <w:spacing w:after="0" w:line="193" w:lineRule="exact"/>
        <w:rPr>
          <w:rFonts w:ascii="Arial" w:cs="Arial" w:eastAsia="Arial" w:hAnsi="Arial"/>
          <w:sz w:val="18"/>
          <w:szCs w:val="18"/>
          <w:b w:val="1"/>
          <w:bCs w:val="1"/>
          <w:color w:val="auto"/>
        </w:rPr>
      </w:pPr>
    </w:p>
    <w:p>
      <w:pPr>
        <w:ind w:left="660" w:right="2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nonprofit. Our Commercial professionals use their deep industry, functional and technical expertise to deliver our digital services and software products, strategy and innovation, and financial advisory (special situation advisory and corporate finance advisory) services. In today’s disruptive environment, organizations must reimagine their historical strategies and financial and operating models to sustain and advance their competitive advantage. Our experts help organizations across industries with a variety of business challenges, including, but not limited to, embedding technology and analytics throughout their internal and customer-facing operations; developing analytics and insights to identify the needs of tomorrow’s customers, evolve their strategies, and bring new products to market; managing through stressed and distressed situations to create a viable path forward for stakeholders; and providing financial, risk and regulatory advisory offerings.</w:t>
      </w:r>
    </w:p>
    <w:p>
      <w:pPr>
        <w:spacing w:after="0" w:line="15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Segment operating income consists of the revenues generated by a segment, less operating expenses that are incurred directly by the segment. Unallocated costs include corporate costs related to administrative functions that are performed in a centralized manner that are not attributable to a particular segment. These administrative function costs include corporate office support costs, office facility costs, costs related to accounting and finance, human resources, legal, marketing, information technology, and company-wide business development functions, as well as costs related to overall corporate management. Our chief operating decision maker does not evaluate segments using asset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The tables below set forth information about our operating segments for the years ended December 31, 2022, 2021, and 2020, along with the items necessary to reconcile the segment information to the totals reported in the accompanying consolidated financial statements. We do not present financial information by geographic area because the financial results of our international operations are not significant to our consolidated financial statements.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23"/>
        </w:trPr>
        <w:tc>
          <w:tcPr>
            <w:tcW w:w="6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0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534,999</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444,767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406,536</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131,227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118,324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105,650</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24.5 %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26.6 %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26.0 %</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359,835</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242,374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223,325</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78,924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52,398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45,780</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21.9 %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21.6 %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20.5 %</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237,621</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218,499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214,266</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50,025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34,296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39,044</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Segment operating income as a percentage of segment revenues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18.2 %</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1,132,455</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905,640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844,127</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26,506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21,318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26,887</w:t>
            </w:r>
          </w:p>
        </w:tc>
      </w:tr>
      <w:tr>
        <w:trPr>
          <w:trHeight w:val="223"/>
        </w:trPr>
        <w:tc>
          <w:tcPr>
            <w:tcW w:w="6160" w:type="dxa"/>
            <w:vAlign w:val="bottom"/>
          </w:tcPr>
          <w:p>
            <w:pPr>
              <w:ind w:left="240"/>
              <w:spacing w:after="0"/>
              <w:rPr>
                <w:sz w:val="20"/>
                <w:szCs w:val="20"/>
                <w:color w:val="auto"/>
              </w:rPr>
            </w:pPr>
            <w:r>
              <w:rPr>
                <w:rFonts w:ascii="Arial" w:cs="Arial" w:eastAsia="Arial" w:hAnsi="Arial"/>
                <w:sz w:val="18"/>
                <w:szCs w:val="18"/>
                <w:color w:val="auto"/>
              </w:rPr>
              <w:t>Total revenues and reimbursable expenses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1,158,961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926,958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871,014</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6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260,176</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205,018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190,474</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16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140,145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131,545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135,105</w:t>
            </w:r>
          </w:p>
        </w:tc>
      </w:tr>
      <w:tr>
        <w:trPr>
          <w:trHeight w:val="229"/>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20,271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20,634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24,405</w:t>
            </w:r>
          </w:p>
        </w:tc>
      </w:tr>
      <w:tr>
        <w:trPr>
          <w:trHeight w:val="230"/>
        </w:trPr>
        <w:tc>
          <w:tcPr>
            <w:tcW w:w="616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Goodwill impairment charges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59,816</w:t>
            </w:r>
          </w:p>
        </w:tc>
      </w:tr>
      <w:tr>
        <w:trPr>
          <w:trHeight w:val="223"/>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99,760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52,839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(28,852)</w:t>
            </w:r>
          </w:p>
        </w:tc>
      </w:tr>
      <w:tr>
        <w:trPr>
          <w:trHeight w:val="230"/>
        </w:trPr>
        <w:tc>
          <w:tcPr>
            <w:tcW w:w="6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8,817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27,197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(5,021)</w:t>
            </w: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 before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108,577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80,036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(33,873)</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340" w:right="640" w:hanging="332"/>
        <w:spacing w:after="0" w:line="256" w:lineRule="auto"/>
        <w:tabs>
          <w:tab w:leader="none" w:pos="37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following table illustrates the disaggregation of revenues by capability, including a reconciliation of the disaggregated revenues to revenues from our three operating segments for the years ended December 31, 2022, 2021 and 2020. For the years ended December 31, 2022, 2021, and 2020, substantially all of our revenues were recognized over time.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r>
      <w:tr>
        <w:trPr>
          <w:trHeight w:val="223"/>
        </w:trPr>
        <w:tc>
          <w:tcPr>
            <w:tcW w:w="690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Revenues by Capability</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6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r>
      <w:tr>
        <w:trPr>
          <w:trHeight w:val="230"/>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365,645</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327,165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294,456</w:t>
            </w:r>
          </w:p>
        </w:tc>
      </w:tr>
      <w:tr>
        <w:trPr>
          <w:trHeight w:val="22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169,354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117,602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112,080</w:t>
            </w:r>
          </w:p>
        </w:tc>
      </w:tr>
      <w:tr>
        <w:trPr>
          <w:trHeight w:val="223"/>
        </w:trPr>
        <w:tc>
          <w:tcPr>
            <w:tcW w:w="69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534,999</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444,767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406,536</w:t>
            </w:r>
          </w:p>
        </w:tc>
      </w:tr>
      <w:tr>
        <w:trPr>
          <w:trHeight w:val="22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192,336</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131,369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108,784</w:t>
            </w:r>
          </w:p>
        </w:tc>
      </w:tr>
      <w:tr>
        <w:trPr>
          <w:trHeight w:val="23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167,499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114,541</w:t>
            </w:r>
          </w:p>
        </w:tc>
      </w:tr>
      <w:tr>
        <w:trPr>
          <w:trHeight w:val="223"/>
        </w:trPr>
        <w:tc>
          <w:tcPr>
            <w:tcW w:w="69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359,835</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242,374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223,325</w:t>
            </w:r>
          </w:p>
        </w:tc>
      </w:tr>
      <w:tr>
        <w:trPr>
          <w:trHeight w:val="23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80,013</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97,381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110,846</w:t>
            </w:r>
          </w:p>
        </w:tc>
      </w:tr>
      <w:tr>
        <w:trPr>
          <w:trHeight w:val="22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157,608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103,420</w:t>
            </w:r>
          </w:p>
        </w:tc>
      </w:tr>
      <w:tr>
        <w:trPr>
          <w:trHeight w:val="223"/>
        </w:trPr>
        <w:tc>
          <w:tcPr>
            <w:tcW w:w="69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237,621</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218,499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214,266</w:t>
            </w:r>
          </w:p>
        </w:tc>
      </w:tr>
      <w:tr>
        <w:trPr>
          <w:trHeight w:val="22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637,994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555,915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514,086</w:t>
            </w:r>
          </w:p>
        </w:tc>
      </w:tr>
      <w:tr>
        <w:trPr>
          <w:trHeight w:val="22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494,461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330,041</w:t>
            </w:r>
          </w:p>
        </w:tc>
      </w:tr>
      <w:tr>
        <w:trPr>
          <w:trHeight w:val="223"/>
        </w:trPr>
        <w:tc>
          <w:tcPr>
            <w:tcW w:w="690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1,132,455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905,640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844,127</w:t>
            </w:r>
          </w:p>
        </w:tc>
      </w:tr>
      <w:tr>
        <w:trPr>
          <w:trHeight w:val="21"/>
        </w:trPr>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For the years ended December 31, 2022, 2021, and 2020, substantially all of our revenues and long-lived assets were attributed to or located in the United States.</w:t>
      </w:r>
    </w:p>
    <w:p>
      <w:pPr>
        <w:spacing w:after="0" w:line="15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At December 31, 2022 and 2021, no single client accounted for greater than 10% of our combined balance of receivables from clients, net and unbilled services, net. During the years ended December 31, 2022, 2021, and 2020, no single client generated greater than 10% of our consolidated revenues.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Valuation and Qualifying Accounts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table below sets forth the changes in the carrying amount of our allowances for doubtful accounts and unbilled services and valuation allowance for deferred tax assets for the years ended December 31, 2022, 2021, and 2020. Allowances for doubtful accounts and unbilled services includes allowances for fee adjustments and other discretionary pricing adjustments as well as allowances related to clients' inability to make required payments on accounts receivable.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Beginning</w:t>
            </w:r>
          </w:p>
        </w:tc>
        <w:tc>
          <w:tcPr>
            <w:tcW w:w="14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 xml:space="preserve">Additions </w:t>
            </w:r>
            <w:r>
              <w:rPr>
                <w:rFonts w:ascii="Arial" w:cs="Arial" w:eastAsia="Arial" w:hAnsi="Arial"/>
                <w:sz w:val="23"/>
                <w:szCs w:val="23"/>
                <w:b w:val="1"/>
                <w:bCs w:val="1"/>
                <w:color w:val="auto"/>
                <w:vertAlign w:val="superscript"/>
              </w:rPr>
              <w:t>(1)</w:t>
            </w:r>
          </w:p>
        </w:tc>
        <w:tc>
          <w:tcPr>
            <w:tcW w:w="14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Deductions</w:t>
            </w:r>
          </w:p>
        </w:tc>
        <w:tc>
          <w:tcPr>
            <w:tcW w:w="24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Ending</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Balance</w:t>
            </w:r>
          </w:p>
        </w:tc>
        <w:tc>
          <w:tcPr>
            <w:tcW w:w="1440" w:type="dxa"/>
            <w:vAlign w:val="bottom"/>
            <w:gridSpan w:val="2"/>
            <w:vMerge w:val="continue"/>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8"/>
                <w:szCs w:val="18"/>
                <w:color w:val="auto"/>
              </w:rPr>
              <w:t>Year ended December 31, 2020:</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Allowances for doubtful accounts and unbilled services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21,306</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Valuation allowance for deferred tax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Allowances for doubtful accounts and unbilled services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21,306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9,852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15,363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15,795</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 for deferred tax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Year ended December 31, 2022:</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Allowances for doubtful accounts and unbilled services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22,135</w:t>
            </w:r>
          </w:p>
        </w:tc>
        <w:tc>
          <w:tcPr>
            <w:tcW w:w="0" w:type="dxa"/>
            <w:vAlign w:val="bottom"/>
          </w:tcPr>
          <w:p>
            <w:pPr>
              <w:spacing w:after="0"/>
              <w:rPr>
                <w:sz w:val="1"/>
                <w:szCs w:val="1"/>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8"/>
                <w:szCs w:val="18"/>
                <w:color w:val="auto"/>
              </w:rPr>
              <w:t>Valuation allowance for deferred tax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40" w:right="380" w:hanging="332"/>
        <w:spacing w:after="0" w:line="291" w:lineRule="auto"/>
        <w:tabs>
          <w:tab w:leader="none" w:pos="371"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Additions to allowances for doubtful accounts and unbilled services are charged to revenues. To the extent we write-off accounts receivable due to a client’s inability to pay, the charge is recognized as a component of selling, general and administrative expenses.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ectPr>
          <w:pgSz w:w="11900" w:h="16838" w:orient="portrait"/>
          <w:cols w:equalWidth="0" w:num="1">
            <w:col w:w="11240"/>
          </w:cols>
          <w:pgMar w:left="320" w:top="140" w:right="339" w:bottom="1440" w:gutter="0" w:footer="0" w:header="0"/>
          <w:type w:val="continuous"/>
        </w:sectPr>
      </w:pPr>
    </w:p>
    <w:bookmarkStart w:id="91" w:name="page92"/>
    <w:bookmarkEnd w:id="91"/>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HURON CONSULTING GROUP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STOCK OWNERSHIP PARTICIPATION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Effective November 23, 2022</w:t>
      </w:r>
    </w:p>
    <w:p>
      <w:pPr>
        <w:sectPr>
          <w:pgSz w:w="11900" w:h="16838" w:orient="portrait"/>
          <w:cols w:equalWidth="0" w:num="1">
            <w:col w:w="10120"/>
          </w:cols>
          <w:pgMar w:left="1440" w:top="1440" w:right="339" w:bottom="1440" w:gutter="0" w:footer="0" w:header="0"/>
        </w:sectPr>
      </w:pPr>
    </w:p>
    <w:bookmarkStart w:id="92" w:name="page93"/>
    <w:bookmarkEnd w:id="92"/>
    <w:p>
      <w:pPr>
        <w:ind w:left="3940"/>
        <w:spacing w:after="0"/>
        <w:rPr>
          <w:sz w:val="20"/>
          <w:szCs w:val="20"/>
          <w:color w:val="auto"/>
        </w:rPr>
      </w:pPr>
      <w:r>
        <w:rPr>
          <w:rFonts w:ascii="Arial" w:cs="Arial" w:eastAsia="Arial" w:hAnsi="Arial"/>
          <w:sz w:val="22"/>
          <w:szCs w:val="22"/>
          <w:b w:val="1"/>
          <w:bCs w:val="1"/>
          <w:color w:val="auto"/>
        </w:rPr>
        <w:t>HURON CONSULTING GROUP INC.</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22"/>
          <w:szCs w:val="22"/>
          <w:b w:val="1"/>
          <w:bCs w:val="1"/>
          <w:color w:val="auto"/>
        </w:rPr>
        <w:t>STOCK OWNERSHIP PARTICIPATION PROGRAM</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Effective November 23, 2022</w:t>
      </w:r>
    </w:p>
    <w:p>
      <w:pPr>
        <w:spacing w:after="0" w:line="155" w:lineRule="exact"/>
        <w:rPr>
          <w:sz w:val="20"/>
          <w:szCs w:val="20"/>
          <w:color w:val="auto"/>
        </w:rPr>
      </w:pPr>
    </w:p>
    <w:p>
      <w:pPr>
        <w:jc w:val="both"/>
        <w:ind w:firstLine="656"/>
        <w:spacing w:after="0" w:line="298" w:lineRule="auto"/>
        <w:tabs>
          <w:tab w:leader="none" w:pos="1296"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Purpose and History</w:t>
      </w:r>
      <w:r>
        <w:rPr>
          <w:rFonts w:ascii="Arial" w:cs="Arial" w:eastAsia="Arial" w:hAnsi="Arial"/>
          <w:sz w:val="19"/>
          <w:szCs w:val="19"/>
          <w:color w:val="auto"/>
        </w:rPr>
        <w:t>. The purpose of the Huron Consulting Group Inc. (the “Company”) Stock Ownership</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Program (the “</w:t>
      </w:r>
      <w:r>
        <w:rPr>
          <w:rFonts w:ascii="Arial" w:cs="Arial" w:eastAsia="Arial" w:hAnsi="Arial"/>
          <w:sz w:val="19"/>
          <w:szCs w:val="19"/>
          <w:u w:val="single" w:color="auto"/>
          <w:color w:val="auto"/>
        </w:rPr>
        <w:t>Plan</w:t>
      </w:r>
      <w:r>
        <w:rPr>
          <w:rFonts w:ascii="Arial" w:cs="Arial" w:eastAsia="Arial" w:hAnsi="Arial"/>
          <w:sz w:val="19"/>
          <w:szCs w:val="19"/>
          <w:color w:val="auto"/>
        </w:rPr>
        <w:t>”) is to provide eligible Employees of the Company and Participating Subsidiaries with an opportunity to purchase common stock of the Company through payroll deductions and, through such ownership, to promote alignment with the interests of shareholders of the Company, to stimulate their commitment to the business objectives of the Company and to maintain their motivation through the opportunity to share in the growth of the Company. The Plan is not intended to qualify as an “Employee Stock Purchase Plan” under Section 423 of the Internal Revenue Code of 1986, as amended.</w:t>
      </w:r>
    </w:p>
    <w:p>
      <w:pPr>
        <w:spacing w:after="0" w:line="9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Plan was originally adopted in 2005 as part of the Company’s Omnibus Incentive Plan, as amended, (the “Omnibus Plan”) to provide eligible Employees an annual opportunity to purchase common stock of the Company through deductions from Annual Incentive Bonuses. In 2011, the Plan was amended to provide eligible Employees additional quarterly opportunities to purchase common stock through regular payroll deductions and cash contributions. The Plan was further restated effective June 1, 2015 as a standalone plan; amended on May 8, 2020 to increase the shares available under the Plan; and amended on December 1, 2020 to reflect some administrative type changes. Common stock of the Company purchased or granted hereunder shall be subject to the terms and conditions of this Plan and, as applicable, the restricted share grant agreements issued hereunder. This document memorializes the terms of the Plan on and after November 23, 2022.</w:t>
      </w:r>
    </w:p>
    <w:p>
      <w:pPr>
        <w:spacing w:after="0" w:line="200" w:lineRule="exact"/>
        <w:rPr>
          <w:sz w:val="20"/>
          <w:szCs w:val="20"/>
          <w:color w:val="auto"/>
        </w:rPr>
      </w:pPr>
    </w:p>
    <w:p>
      <w:pPr>
        <w:spacing w:after="0" w:line="300" w:lineRule="exact"/>
        <w:rPr>
          <w:sz w:val="20"/>
          <w:szCs w:val="20"/>
          <w:color w:val="auto"/>
        </w:rPr>
      </w:pPr>
    </w:p>
    <w:p>
      <w:pPr>
        <w:ind w:right="20" w:firstLine="656"/>
        <w:spacing w:after="0" w:line="269" w:lineRule="auto"/>
        <w:tabs>
          <w:tab w:leader="none" w:pos="1296" w:val="left"/>
        </w:tabs>
        <w:numPr>
          <w:ilvl w:val="0"/>
          <w:numId w:val="50"/>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As used herein, the terms set forth below have the meanings assigned to them in this Section 2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include the plural as well as the singular.</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1933 Act</w:t>
      </w:r>
      <w:r>
        <w:rPr>
          <w:rFonts w:ascii="Arial" w:cs="Arial" w:eastAsia="Arial" w:hAnsi="Arial"/>
          <w:sz w:val="22"/>
          <w:szCs w:val="22"/>
          <w:color w:val="auto"/>
        </w:rPr>
        <w:t>” means the Securities Act of 1933, as amended.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1934 Act</w:t>
      </w:r>
      <w:r>
        <w:rPr>
          <w:rFonts w:ascii="Arial" w:cs="Arial" w:eastAsia="Arial" w:hAnsi="Arial"/>
          <w:sz w:val="22"/>
          <w:szCs w:val="22"/>
          <w:color w:val="auto"/>
        </w:rPr>
        <w:t>” means the Securities Exchange Act of 1934, as amended.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Incentive Bonus</w:t>
      </w:r>
      <w:r>
        <w:rPr>
          <w:rFonts w:ascii="Arial" w:cs="Arial" w:eastAsia="Arial" w:hAnsi="Arial"/>
          <w:sz w:val="22"/>
          <w:szCs w:val="22"/>
          <w:color w:val="auto"/>
        </w:rPr>
        <w:t>” means a Participant’s annual incentive bonus.</w:t>
      </w:r>
    </w:p>
    <w:p>
      <w:pPr>
        <w:spacing w:after="0" w:line="1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Salary</w:t>
      </w:r>
      <w:r>
        <w:rPr>
          <w:rFonts w:ascii="Arial" w:cs="Arial" w:eastAsia="Arial" w:hAnsi="Arial"/>
          <w:sz w:val="22"/>
          <w:szCs w:val="22"/>
          <w:color w:val="auto"/>
        </w:rPr>
        <w:t>” means regular earnings excluding payments for overtime, bonuses, and all other special payments, commissions, and incentive payments.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or “</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Huron Consulting Group Inc.</w:t>
      </w:r>
    </w:p>
    <w:p>
      <w:pPr>
        <w:spacing w:after="0" w:line="16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Bonus Offering Period</w:t>
      </w:r>
      <w:r>
        <w:rPr>
          <w:rFonts w:ascii="Arial" w:cs="Arial" w:eastAsia="Arial" w:hAnsi="Arial"/>
          <w:sz w:val="22"/>
          <w:szCs w:val="22"/>
          <w:color w:val="auto"/>
        </w:rPr>
        <w:t>” means an annual offering of the Company’s Shares beginning and terminating on the dates selected by the Company.</w:t>
      </w:r>
    </w:p>
    <w:p>
      <w:pPr>
        <w:spacing w:after="0" w:line="121"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Broker</w:t>
      </w:r>
      <w:r>
        <w:rPr>
          <w:rFonts w:ascii="Arial" w:cs="Arial" w:eastAsia="Arial" w:hAnsi="Arial"/>
          <w:sz w:val="22"/>
          <w:szCs w:val="22"/>
          <w:color w:val="auto"/>
        </w:rPr>
        <w:t>” means the brokerage firm or financial institution retained to perform administrative services described in Section 11(b).</w:t>
      </w:r>
    </w:p>
    <w:p>
      <w:pPr>
        <w:sectPr>
          <w:pgSz w:w="11900" w:h="16838" w:orient="portrait"/>
          <w:cols w:equalWidth="0" w:num="1">
            <w:col w:w="11240"/>
          </w:cols>
          <w:pgMar w:left="320" w:top="1422" w:right="339" w:bottom="1440" w:gutter="0" w:footer="0" w:header="0"/>
        </w:sectPr>
      </w:pPr>
    </w:p>
    <w:bookmarkStart w:id="93" w:name="page94"/>
    <w:bookmarkEnd w:id="93"/>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shall mean a day on which the NASDAQ Stock Market (“NASDAQ”) is open for trading.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Brokerage Account</w:t>
      </w:r>
      <w:r>
        <w:rPr>
          <w:rFonts w:ascii="Arial" w:cs="Arial" w:eastAsia="Arial" w:hAnsi="Arial"/>
          <w:sz w:val="22"/>
          <w:szCs w:val="22"/>
          <w:color w:val="auto"/>
        </w:rPr>
        <w:t>” means the account in which the Purchased Shares and Matched Shares are held.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from time to time.</w:t>
      </w:r>
    </w:p>
    <w:p>
      <w:pPr>
        <w:spacing w:after="0" w:line="179"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means the Compensation Committee of the Board, or, to the extent the Compensation Committee of the Board has delegated certain administrative authority over the Plan to the Internal Committee, then the Internal Committee.</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Huron Consulting Group Inc.</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means November 23, 2022.</w:t>
      </w:r>
    </w:p>
    <w:p>
      <w:pPr>
        <w:spacing w:after="0" w:line="16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w:t>
      </w:r>
      <w:r>
        <w:rPr>
          <w:rFonts w:ascii="Arial" w:cs="Arial" w:eastAsia="Arial" w:hAnsi="Arial"/>
          <w:sz w:val="22"/>
          <w:szCs w:val="22"/>
          <w:color w:val="auto"/>
        </w:rPr>
        <w:t>” means any individual who is an employee of the Company or any other Participating Subsidiary for tax purposes and who is employed on a non-temporary basis; for the avoidance of doubt, employees who are deemed by the Company to be interns or temporary employees are not “Employees” for purposes of the Plan. For purposes of the Plan, the employment relationship shall be treated as continuing intact while the individual is on sick leave or other leave of absence approved by the Company or the Participating Subsidiary, as appropriate; provided, however, that payroll deductions pursuant to Section 5 shall cease during a Participant’s unpaid leave.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Enrollment Date</w:t>
      </w:r>
      <w:r>
        <w:rPr>
          <w:rFonts w:ascii="Arial" w:cs="Arial" w:eastAsia="Arial" w:hAnsi="Arial"/>
          <w:sz w:val="22"/>
          <w:szCs w:val="22"/>
          <w:color w:val="auto"/>
        </w:rPr>
        <w:t>” means the first Business Day of each Offering Period and Bonus Offering Period.</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Internal Committee</w:t>
      </w:r>
      <w:r>
        <w:rPr>
          <w:rFonts w:ascii="Arial" w:cs="Arial" w:eastAsia="Arial" w:hAnsi="Arial"/>
          <w:sz w:val="22"/>
          <w:szCs w:val="22"/>
          <w:color w:val="auto"/>
        </w:rPr>
        <w:t>” means a committee comprised of the Company’s Chief Human Resources Officer and Chief Financial Officer.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Matched Shares</w:t>
      </w:r>
      <w:r>
        <w:rPr>
          <w:rFonts w:ascii="Arial" w:cs="Arial" w:eastAsia="Arial" w:hAnsi="Arial"/>
          <w:sz w:val="22"/>
          <w:szCs w:val="22"/>
          <w:color w:val="auto"/>
        </w:rPr>
        <w:t>” means the restricted Shares issued pursuant to Section 8 of the Plan.</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Period</w:t>
      </w:r>
      <w:r>
        <w:rPr>
          <w:rFonts w:ascii="Arial" w:cs="Arial" w:eastAsia="Arial" w:hAnsi="Arial"/>
          <w:sz w:val="22"/>
          <w:szCs w:val="22"/>
          <w:color w:val="auto"/>
        </w:rPr>
        <w:t>” means the quarterly offerings of the Company’s Shares beginning on the first day of January, the first day of April, the first day of July and the first day of October, and terminating, respectively, on the last day of March, the last day of June, the last day of September, and the last day of December.</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an Employee who satisfies the requirements of Sections 3 and 4 of the Plan.</w:t>
      </w:r>
    </w:p>
    <w:p>
      <w:pPr>
        <w:spacing w:after="0" w:line="16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Participating Subsidiary</w:t>
      </w:r>
      <w:r>
        <w:rPr>
          <w:rFonts w:ascii="Arial" w:cs="Arial" w:eastAsia="Arial" w:hAnsi="Arial"/>
          <w:sz w:val="21"/>
          <w:szCs w:val="21"/>
          <w:color w:val="auto"/>
        </w:rPr>
        <w:t>” means a Subsidiary that has been authorized by the Committee or the Board to extend the benefits of the Plan to its Employees. The Committee or the Board may extend the Plan to a Subsidiary in the future.</w:t>
      </w:r>
    </w:p>
    <w:p>
      <w:pPr>
        <w:spacing w:after="0" w:line="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Account</w:t>
      </w:r>
      <w:r>
        <w:rPr>
          <w:rFonts w:ascii="Arial" w:cs="Arial" w:eastAsia="Arial" w:hAnsi="Arial"/>
          <w:sz w:val="22"/>
          <w:szCs w:val="22"/>
          <w:color w:val="auto"/>
        </w:rPr>
        <w:t>” means the bookkeeping account used to track a Participant’s payroll deductions to be applied to purchase Shares under the Plan.</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5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Date</w:t>
      </w:r>
      <w:r>
        <w:rPr>
          <w:rFonts w:ascii="Arial" w:cs="Arial" w:eastAsia="Arial" w:hAnsi="Arial"/>
          <w:sz w:val="22"/>
          <w:szCs w:val="22"/>
          <w:color w:val="auto"/>
        </w:rPr>
        <w:t>” generally means the next Business Day following the last payroll date in the Offering Period or Bonus Offering Period, or such other date as shall be established by the Internal Committee.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Price</w:t>
      </w:r>
      <w:r>
        <w:rPr>
          <w:rFonts w:ascii="Arial" w:cs="Arial" w:eastAsia="Arial" w:hAnsi="Arial"/>
          <w:sz w:val="19"/>
          <w:szCs w:val="19"/>
          <w:color w:val="auto"/>
        </w:rPr>
        <w:t>” means the average price of the Shares purchased for this Plan by the Broker on a Purchase Date.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Purchased Shares</w:t>
      </w:r>
      <w:r>
        <w:rPr>
          <w:rFonts w:ascii="Arial" w:cs="Arial" w:eastAsia="Arial" w:hAnsi="Arial"/>
          <w:sz w:val="19"/>
          <w:szCs w:val="19"/>
          <w:color w:val="auto"/>
        </w:rPr>
        <w:t>” means the full and fractional Shares added to a Participant’s Brokerage Account on a Purchase Date.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Shares</w:t>
      </w:r>
      <w:r>
        <w:rPr>
          <w:rFonts w:ascii="Arial" w:cs="Arial" w:eastAsia="Arial" w:hAnsi="Arial"/>
          <w:sz w:val="22"/>
          <w:szCs w:val="22"/>
          <w:color w:val="auto"/>
        </w:rPr>
        <w:t>” means the common stock of the Company.</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an entity, domestic or foreign, of which not less than 50% of the voting equity is held by the Company or a Subsidiary, whether or not such entity now exists or is hereafter organized or acquired by the Company or a Subsidiary.</w:t>
      </w:r>
    </w:p>
    <w:p>
      <w:pPr>
        <w:spacing w:after="0" w:line="139" w:lineRule="exact"/>
        <w:rPr>
          <w:sz w:val="20"/>
          <w:szCs w:val="20"/>
          <w:color w:val="auto"/>
        </w:rPr>
      </w:pPr>
    </w:p>
    <w:p>
      <w:pPr>
        <w:ind w:firstLine="656"/>
        <w:spacing w:after="0" w:line="349" w:lineRule="auto"/>
        <w:tabs>
          <w:tab w:leader="none" w:pos="1296"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Eligibility</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Employees of the Company or a Participating Subsidiary who are: (i) below the Managing Director</w:t>
      </w:r>
      <w:r>
        <w:rPr>
          <w:rFonts w:ascii="Arial" w:cs="Arial" w:eastAsia="Arial" w:hAnsi="Arial"/>
          <w:sz w:val="19"/>
          <w:szCs w:val="19"/>
          <w:b w:val="1"/>
          <w:bCs w:val="1"/>
          <w:color w:val="auto"/>
        </w:rPr>
        <w:t xml:space="preserve"> </w:t>
      </w:r>
      <w:r>
        <w:rPr>
          <w:rFonts w:ascii="Arial" w:cs="Arial" w:eastAsia="Arial" w:hAnsi="Arial"/>
          <w:sz w:val="19"/>
          <w:szCs w:val="19"/>
          <w:color w:val="auto"/>
        </w:rPr>
        <w:t>level, and (ii) employed in a position other than that of Project Consultant, shall be eligible to participate in the Plan.</w:t>
      </w:r>
    </w:p>
    <w:p>
      <w:pPr>
        <w:spacing w:after="0" w:line="39" w:lineRule="exact"/>
        <w:rPr>
          <w:rFonts w:ascii="Arial" w:cs="Arial" w:eastAsia="Arial" w:hAnsi="Arial"/>
          <w:sz w:val="19"/>
          <w:szCs w:val="19"/>
          <w:b w:val="1"/>
          <w:bCs w:val="1"/>
          <w:color w:val="auto"/>
        </w:rPr>
      </w:pPr>
    </w:p>
    <w:p>
      <w:pPr>
        <w:jc w:val="both"/>
        <w:ind w:firstLine="656"/>
        <w:spacing w:after="0" w:line="252" w:lineRule="auto"/>
        <w:tabs>
          <w:tab w:leader="none" w:pos="1296"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Participation</w:t>
      </w:r>
      <w:r>
        <w:rPr>
          <w:rFonts w:ascii="Arial" w:cs="Arial" w:eastAsia="Arial" w:hAnsi="Arial"/>
          <w:sz w:val="22"/>
          <w:szCs w:val="22"/>
          <w:color w:val="auto"/>
        </w:rPr>
        <w:t>. An eligible Employee may become a Participant in the Plan as of an Enrollment Date by making an</w:t>
      </w:r>
      <w:r>
        <w:rPr>
          <w:rFonts w:ascii="Arial" w:cs="Arial" w:eastAsia="Arial" w:hAnsi="Arial"/>
          <w:sz w:val="22"/>
          <w:szCs w:val="22"/>
          <w:b w:val="1"/>
          <w:bCs w:val="1"/>
          <w:color w:val="auto"/>
        </w:rPr>
        <w:t xml:space="preserve"> </w:t>
      </w:r>
      <w:r>
        <w:rPr>
          <w:rFonts w:ascii="Arial" w:cs="Arial" w:eastAsia="Arial" w:hAnsi="Arial"/>
          <w:sz w:val="22"/>
          <w:szCs w:val="22"/>
          <w:color w:val="auto"/>
        </w:rPr>
        <w:t>online election prior to the applicable Enrollment Date in accordance with the process established by the Internal Committee. The election shall set forth the amount of the Participant’s Base Salary or Annual Incentive Bonus, as applicable, to be subject to after-tax payroll deductions pursuant to the Plan.</w:t>
      </w:r>
    </w:p>
    <w:p>
      <w:pPr>
        <w:spacing w:after="0" w:line="139" w:lineRule="exact"/>
        <w:rPr>
          <w:rFonts w:ascii="Arial" w:cs="Arial" w:eastAsia="Arial" w:hAnsi="Arial"/>
          <w:sz w:val="22"/>
          <w:szCs w:val="22"/>
          <w:b w:val="1"/>
          <w:bCs w:val="1"/>
          <w:color w:val="auto"/>
        </w:rPr>
      </w:pPr>
    </w:p>
    <w:p>
      <w:pPr>
        <w:ind w:left="1300" w:hanging="644"/>
        <w:spacing w:after="0"/>
        <w:tabs>
          <w:tab w:leader="none" w:pos="130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Payroll Deductions</w:t>
      </w:r>
      <w:r>
        <w:rPr>
          <w:rFonts w:ascii="Arial" w:cs="Arial" w:eastAsia="Arial" w:hAnsi="Arial"/>
          <w:sz w:val="22"/>
          <w:szCs w:val="22"/>
          <w:b w:val="1"/>
          <w:bCs w:val="1"/>
          <w:color w:val="auto"/>
        </w:rPr>
        <w:t>.</w:t>
      </w:r>
    </w:p>
    <w:p>
      <w:pPr>
        <w:spacing w:after="0" w:line="171" w:lineRule="exact"/>
        <w:rPr>
          <w:rFonts w:ascii="Arial" w:cs="Arial" w:eastAsia="Arial" w:hAnsi="Arial"/>
          <w:sz w:val="22"/>
          <w:szCs w:val="22"/>
          <w:b w:val="1"/>
          <w:bCs w:val="1"/>
          <w:color w:val="auto"/>
        </w:rPr>
      </w:pPr>
    </w:p>
    <w:p>
      <w:pPr>
        <w:jc w:val="both"/>
        <w:ind w:firstLine="1304"/>
        <w:spacing w:after="0" w:line="292" w:lineRule="auto"/>
        <w:tabs>
          <w:tab w:leader="none" w:pos="1939" w:val="left"/>
        </w:tabs>
        <w:numPr>
          <w:ilvl w:val="1"/>
          <w:numId w:val="51"/>
        </w:numPr>
        <w:rPr>
          <w:rFonts w:ascii="Arial" w:cs="Arial" w:eastAsia="Arial" w:hAnsi="Arial"/>
          <w:sz w:val="19"/>
          <w:szCs w:val="19"/>
          <w:b w:val="1"/>
          <w:bCs w:val="1"/>
          <w:color w:val="auto"/>
        </w:rPr>
      </w:pPr>
      <w:r>
        <w:rPr>
          <w:rFonts w:ascii="Arial" w:cs="Arial" w:eastAsia="Arial" w:hAnsi="Arial"/>
          <w:sz w:val="19"/>
          <w:szCs w:val="19"/>
          <w:color w:val="auto"/>
        </w:rPr>
        <w:t>Subject to the limits per Section 5(c) below, a Participant may elect to have after-tax payroll deductions from his or her Base Salary during an Offering Period subject to a minimum and a maximum as set by the Committee from time to time. All payroll deductions made by a Participant shall be credited to his or her Purchase Account. Payroll deductions for a Participant shall commence on the first full payroll period following the Enrollment Date and shall continue for each payroll period thereafter during the Offering Period and each subsequent Offering Period unless: (i) changed in connection with a subsequent Enrollment Date; or (ii) terminated as provided in Section 10 of the Plan. For the avoidance of doubt, once an election has been made with respect an Offering Period, the election will remain in place for the duration of such Offering Period and may not be canceled or otherwise changed during such Offering Period.</w:t>
      </w:r>
    </w:p>
    <w:p>
      <w:pPr>
        <w:spacing w:after="0" w:line="100" w:lineRule="exact"/>
        <w:rPr>
          <w:rFonts w:ascii="Arial" w:cs="Arial" w:eastAsia="Arial" w:hAnsi="Arial"/>
          <w:sz w:val="19"/>
          <w:szCs w:val="19"/>
          <w:b w:val="1"/>
          <w:bCs w:val="1"/>
          <w:color w:val="auto"/>
        </w:rPr>
      </w:pPr>
    </w:p>
    <w:p>
      <w:pPr>
        <w:jc w:val="both"/>
        <w:ind w:firstLine="1304"/>
        <w:spacing w:after="0" w:line="249" w:lineRule="auto"/>
        <w:tabs>
          <w:tab w:leader="none" w:pos="1938" w:val="left"/>
        </w:tabs>
        <w:numPr>
          <w:ilvl w:val="1"/>
          <w:numId w:val="51"/>
        </w:numPr>
        <w:rPr>
          <w:rFonts w:ascii="Arial" w:cs="Arial" w:eastAsia="Arial" w:hAnsi="Arial"/>
          <w:sz w:val="22"/>
          <w:szCs w:val="22"/>
          <w:b w:val="1"/>
          <w:bCs w:val="1"/>
          <w:color w:val="auto"/>
        </w:rPr>
      </w:pPr>
      <w:r>
        <w:rPr>
          <w:rFonts w:ascii="Arial" w:cs="Arial" w:eastAsia="Arial" w:hAnsi="Arial"/>
          <w:sz w:val="22"/>
          <w:szCs w:val="22"/>
          <w:color w:val="auto"/>
        </w:rPr>
        <w:t>Subject to the limits per Section 5(c) below, a Participant may elect to have after-tax payroll deductions from his or her Annual Incentive Bonus made during the Bonus Offering Period subject to a minimum and a maximum as set by the Committee from time to time. Such after-tax payroll deduction shall be taken from the Participant’s Annual Incentive Bonus and credited to his or her Purchase Account. Following the Enrollment Date for each Bonus Offering Period, a Participant may not change his or her payroll deduction with respect to the Bonus Offering Period (subject to changes needed due to the minimum and maximum</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limitations per Section 5(c) below). A new after-tax payroll deduction election must be submitted by the Participant for each Bonus Offering Period.</w:t>
      </w:r>
    </w:p>
    <w:p>
      <w:pPr>
        <w:spacing w:after="0" w:line="121" w:lineRule="exact"/>
        <w:rPr>
          <w:sz w:val="20"/>
          <w:szCs w:val="20"/>
          <w:color w:val="auto"/>
        </w:rPr>
      </w:pPr>
    </w:p>
    <w:p>
      <w:pPr>
        <w:jc w:val="both"/>
        <w:ind w:firstLine="1304"/>
        <w:spacing w:after="0" w:line="319" w:lineRule="auto"/>
        <w:tabs>
          <w:tab w:leader="none" w:pos="1941" w:val="left"/>
        </w:tabs>
        <w:numPr>
          <w:ilvl w:val="1"/>
          <w:numId w:val="52"/>
        </w:numPr>
        <w:rPr>
          <w:rFonts w:ascii="Arial" w:cs="Arial" w:eastAsia="Arial" w:hAnsi="Arial"/>
          <w:sz w:val="19"/>
          <w:szCs w:val="19"/>
          <w:b w:val="1"/>
          <w:bCs w:val="1"/>
          <w:color w:val="auto"/>
        </w:rPr>
      </w:pPr>
      <w:r>
        <w:rPr>
          <w:rFonts w:ascii="Arial" w:cs="Arial" w:eastAsia="Arial" w:hAnsi="Arial"/>
          <w:sz w:val="19"/>
          <w:szCs w:val="19"/>
          <w:color w:val="auto"/>
        </w:rPr>
        <w:t>The aggregate minimum contribution amounts per Participant from payroll deductions under Sections 5(a) and 5(b) shall be as set by the Committee from time to time. The aggregate calendar year maximum contribution amount per Participant from payroll deductions under Sections 5(a) and 5(b) shall be as set by the Committee from time to time.</w:t>
      </w:r>
    </w:p>
    <w:p>
      <w:pPr>
        <w:spacing w:after="0" w:line="73" w:lineRule="exact"/>
        <w:rPr>
          <w:rFonts w:ascii="Arial" w:cs="Arial" w:eastAsia="Arial" w:hAnsi="Arial"/>
          <w:sz w:val="19"/>
          <w:szCs w:val="19"/>
          <w:b w:val="1"/>
          <w:bCs w:val="1"/>
          <w:color w:val="auto"/>
        </w:rPr>
      </w:pPr>
    </w:p>
    <w:p>
      <w:pPr>
        <w:jc w:val="both"/>
        <w:ind w:firstLine="1304"/>
        <w:spacing w:after="0" w:line="249" w:lineRule="auto"/>
        <w:tabs>
          <w:tab w:leader="none" w:pos="1938" w:val="left"/>
        </w:tabs>
        <w:numPr>
          <w:ilvl w:val="1"/>
          <w:numId w:val="52"/>
        </w:numPr>
        <w:rPr>
          <w:rFonts w:ascii="Arial" w:cs="Arial" w:eastAsia="Arial" w:hAnsi="Arial"/>
          <w:sz w:val="22"/>
          <w:szCs w:val="22"/>
          <w:b w:val="1"/>
          <w:bCs w:val="1"/>
          <w:color w:val="auto"/>
        </w:rPr>
      </w:pPr>
      <w:r>
        <w:rPr>
          <w:rFonts w:ascii="Arial" w:cs="Arial" w:eastAsia="Arial" w:hAnsi="Arial"/>
          <w:sz w:val="22"/>
          <w:szCs w:val="22"/>
          <w:color w:val="auto"/>
        </w:rPr>
        <w:t>Any contribution elections made pursuant to Sections 5(a) and 5(b) will be deducted after all taxes, deductions pursuant to any Company-sponsored retirement and/or health and welfare plan, and any other legally required deductions have been made. If, after all other such deductions have been made, there are insufficient funds with which to effectuate contribution elections made pursuant to Section 5(a) or 5(b), as applicable, then the Internal Committee reserves the right to reduce such contribution elections to zero or take any other actions as the Internal Committee, in its sole discretion, deems appropriate.</w:t>
      </w:r>
    </w:p>
    <w:p>
      <w:pPr>
        <w:spacing w:after="0" w:line="133" w:lineRule="exact"/>
        <w:rPr>
          <w:rFonts w:ascii="Arial" w:cs="Arial" w:eastAsia="Arial" w:hAnsi="Arial"/>
          <w:sz w:val="22"/>
          <w:szCs w:val="22"/>
          <w:b w:val="1"/>
          <w:bCs w:val="1"/>
          <w:color w:val="auto"/>
        </w:rPr>
      </w:pPr>
    </w:p>
    <w:p>
      <w:pPr>
        <w:jc w:val="both"/>
        <w:ind w:firstLine="656"/>
        <w:spacing w:after="0" w:line="267" w:lineRule="auto"/>
        <w:tabs>
          <w:tab w:leader="none" w:pos="1296" w:val="left"/>
        </w:tabs>
        <w:numPr>
          <w:ilvl w:val="0"/>
          <w:numId w:val="5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Purchase</w:t>
      </w:r>
      <w:r>
        <w:rPr>
          <w:rFonts w:ascii="Arial" w:cs="Arial" w:eastAsia="Arial" w:hAnsi="Arial"/>
          <w:sz w:val="21"/>
          <w:szCs w:val="21"/>
          <w:color w:val="auto"/>
        </w:rPr>
        <w:t>. On each Purchase Date, in exchange for the applicable proceeds in the Participant’s Purchase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a number of full and fractional Shares shall be added to the Participant’s Brokerage Account, with such number determined by dividing (a) the applicable proceeds accumulated during the Offering Period or the Bonus Offering Period, as applicable, and in the Participant’s Purchase Account as of the Purchase Date, by (b) the applicable Purchase Price; provided, however, that such number of shares shall be subject to the limitations set forth in Section 13.</w:t>
      </w:r>
    </w:p>
    <w:p>
      <w:pPr>
        <w:spacing w:after="0" w:line="114" w:lineRule="exact"/>
        <w:rPr>
          <w:rFonts w:ascii="Arial" w:cs="Arial" w:eastAsia="Arial" w:hAnsi="Arial"/>
          <w:sz w:val="21"/>
          <w:szCs w:val="21"/>
          <w:b w:val="1"/>
          <w:bCs w:val="1"/>
          <w:color w:val="auto"/>
        </w:rPr>
      </w:pPr>
    </w:p>
    <w:p>
      <w:pPr>
        <w:jc w:val="both"/>
        <w:ind w:firstLine="656"/>
        <w:spacing w:after="0" w:line="262" w:lineRule="auto"/>
        <w:tabs>
          <w:tab w:leader="none" w:pos="1296" w:val="left"/>
        </w:tabs>
        <w:numPr>
          <w:ilvl w:val="0"/>
          <w:numId w:val="5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Purchased Shares</w:t>
      </w:r>
      <w:r>
        <w:rPr>
          <w:rFonts w:ascii="Arial" w:cs="Arial" w:eastAsia="Arial" w:hAnsi="Arial"/>
          <w:sz w:val="21"/>
          <w:szCs w:val="21"/>
          <w:b w:val="1"/>
          <w:bCs w:val="1"/>
          <w:color w:val="auto"/>
        </w:rPr>
        <w:t xml:space="preserve">. </w:t>
      </w:r>
      <w:r>
        <w:rPr>
          <w:rFonts w:ascii="Arial" w:cs="Arial" w:eastAsia="Arial" w:hAnsi="Arial"/>
          <w:sz w:val="21"/>
          <w:szCs w:val="21"/>
          <w:color w:val="auto"/>
        </w:rPr>
        <w:t>Upon each Purchase Date, the Participant shall be deemed to have consented to the deposit of</w:t>
      </w:r>
      <w:r>
        <w:rPr>
          <w:rFonts w:ascii="Arial" w:cs="Arial" w:eastAsia="Arial" w:hAnsi="Arial"/>
          <w:sz w:val="21"/>
          <w:szCs w:val="21"/>
          <w:b w:val="1"/>
          <w:bCs w:val="1"/>
          <w:color w:val="auto"/>
        </w:rPr>
        <w:t xml:space="preserve"> </w:t>
      </w:r>
      <w:r>
        <w:rPr>
          <w:rFonts w:ascii="Arial" w:cs="Arial" w:eastAsia="Arial" w:hAnsi="Arial"/>
          <w:sz w:val="21"/>
          <w:szCs w:val="21"/>
          <w:color w:val="auto"/>
        </w:rPr>
        <w:t>all of his or her Purchased Shares in his or her Brokerage Account. A Participant (or if the Participant has died, his or her executor or personal representative) may instruct the Broker (either in writing or in accordance with such procedures as established by the Broker) to (i) sell the Participant’s Purchased Shares through the Brokerage Account at any time, and (ii) pay over to such Participant (or executor or personal representative) the proceeds (less any expenses, fees and withholding taxes, including, without limitation, wage and employment withholding taxes) of such sale. Any such sale is subject to the applicable Company policies including, without limitation, the Company’s Insider Trading Policy. In addition, a Participant (or executor or personal representative) may withdraw the Participant’s Purchased Shares at any time at his or her own expense; any withdrawn fractional Shares will be paid in cash. Such withdrawal shall be contingent on the Participant satisfying all income tax obligations.</w:t>
      </w:r>
    </w:p>
    <w:p>
      <w:pPr>
        <w:spacing w:after="0" w:line="117" w:lineRule="exact"/>
        <w:rPr>
          <w:rFonts w:ascii="Arial" w:cs="Arial" w:eastAsia="Arial" w:hAnsi="Arial"/>
          <w:sz w:val="21"/>
          <w:szCs w:val="21"/>
          <w:b w:val="1"/>
          <w:bCs w:val="1"/>
          <w:color w:val="auto"/>
        </w:rPr>
      </w:pPr>
    </w:p>
    <w:p>
      <w:pPr>
        <w:ind w:left="1300" w:hanging="644"/>
        <w:spacing w:after="0"/>
        <w:tabs>
          <w:tab w:leader="none" w:pos="130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Matched Shares</w:t>
      </w:r>
      <w:r>
        <w:rPr>
          <w:rFonts w:ascii="Arial" w:cs="Arial" w:eastAsia="Arial" w:hAnsi="Arial"/>
          <w:sz w:val="22"/>
          <w:szCs w:val="22"/>
          <w:color w:val="auto"/>
        </w:rPr>
        <w:t>.</w:t>
      </w:r>
    </w:p>
    <w:p>
      <w:pPr>
        <w:spacing w:after="0" w:line="171" w:lineRule="exact"/>
        <w:rPr>
          <w:rFonts w:ascii="Arial" w:cs="Arial" w:eastAsia="Arial" w:hAnsi="Arial"/>
          <w:sz w:val="22"/>
          <w:szCs w:val="22"/>
          <w:b w:val="1"/>
          <w:bCs w:val="1"/>
          <w:color w:val="auto"/>
        </w:rPr>
      </w:pPr>
    </w:p>
    <w:p>
      <w:pPr>
        <w:jc w:val="both"/>
        <w:ind w:firstLine="1304"/>
        <w:spacing w:after="0" w:line="249" w:lineRule="auto"/>
        <w:tabs>
          <w:tab w:leader="none" w:pos="1939" w:val="left"/>
        </w:tabs>
        <w:numPr>
          <w:ilvl w:val="1"/>
          <w:numId w:val="53"/>
        </w:numPr>
        <w:rPr>
          <w:rFonts w:ascii="Arial" w:cs="Arial" w:eastAsia="Arial" w:hAnsi="Arial"/>
          <w:sz w:val="22"/>
          <w:szCs w:val="22"/>
          <w:b w:val="1"/>
          <w:bCs w:val="1"/>
          <w:color w:val="auto"/>
        </w:rPr>
      </w:pPr>
      <w:r>
        <w:rPr>
          <w:rFonts w:ascii="Arial" w:cs="Arial" w:eastAsia="Arial" w:hAnsi="Arial"/>
          <w:sz w:val="22"/>
          <w:szCs w:val="22"/>
          <w:color w:val="auto"/>
        </w:rPr>
        <w:t>Promptly after the Purchase Date, the Participant shall be granted a number of restricted Shares equal to twenty-five percent (25%) of the Participant’s Purchased Shares for the Offering Period or Bonus Offering Period (with such number rounded up to the nearest whole Share) (the “</w:t>
      </w:r>
      <w:r>
        <w:rPr>
          <w:rFonts w:ascii="Arial" w:cs="Arial" w:eastAsia="Arial" w:hAnsi="Arial"/>
          <w:sz w:val="22"/>
          <w:szCs w:val="22"/>
          <w:u w:val="single" w:color="auto"/>
          <w:color w:val="auto"/>
        </w:rPr>
        <w:t>Matched Shares</w:t>
      </w:r>
      <w:r>
        <w:rPr>
          <w:rFonts w:ascii="Arial" w:cs="Arial" w:eastAsia="Arial" w:hAnsi="Arial"/>
          <w:sz w:val="22"/>
          <w:szCs w:val="22"/>
          <w:color w:val="auto"/>
        </w:rPr>
        <w:t>”). The terms of the Matched Shares, including the number of Shares granted and the vesting requirements, shall be set forth in a separate restricted Share grant agreement (“</w:t>
      </w:r>
      <w:r>
        <w:rPr>
          <w:rFonts w:ascii="Arial" w:cs="Arial" w:eastAsia="Arial" w:hAnsi="Arial"/>
          <w:sz w:val="22"/>
          <w:szCs w:val="22"/>
          <w:u w:val="single" w:color="auto"/>
          <w:color w:val="auto"/>
        </w:rPr>
        <w:t>Grant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delivered to the Participant at the time of the Matched Shares grant. Notwithstanding anything contained in the Grant Agreement, in the event</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of a Participant’s approved, unpaid leave of absence lasting more than thirty (30) days, the vesting date or dates for the Participant’s Matched Shares shall be extended by a number of days equal to the total length of the Participant’s approved, unpaid leave of absence.</w:t>
      </w:r>
    </w:p>
    <w:p>
      <w:pPr>
        <w:spacing w:after="0" w:line="145" w:lineRule="exact"/>
        <w:rPr>
          <w:sz w:val="20"/>
          <w:szCs w:val="20"/>
          <w:color w:val="auto"/>
        </w:rPr>
      </w:pPr>
    </w:p>
    <w:p>
      <w:pPr>
        <w:jc w:val="both"/>
        <w:ind w:firstLine="1304"/>
        <w:spacing w:after="0" w:line="297" w:lineRule="auto"/>
        <w:tabs>
          <w:tab w:leader="none" w:pos="1938" w:val="left"/>
        </w:tabs>
        <w:numPr>
          <w:ilvl w:val="1"/>
          <w:numId w:val="54"/>
        </w:numPr>
        <w:rPr>
          <w:rFonts w:ascii="Arial" w:cs="Arial" w:eastAsia="Arial" w:hAnsi="Arial"/>
          <w:sz w:val="19"/>
          <w:szCs w:val="19"/>
          <w:b w:val="1"/>
          <w:bCs w:val="1"/>
          <w:color w:val="auto"/>
        </w:rPr>
      </w:pPr>
      <w:r>
        <w:rPr>
          <w:rFonts w:ascii="Arial" w:cs="Arial" w:eastAsia="Arial" w:hAnsi="Arial"/>
          <w:sz w:val="19"/>
          <w:szCs w:val="19"/>
          <w:color w:val="auto"/>
        </w:rPr>
        <w:t>The Participant shall be solely responsible for paying to the Company all required federal, state, city and local income and employment taxes which arise upon vesting of the Matched Shares. Unless the Participant makes advance arrangements to make such payment in cash, the Company shall satisfy any withholding tax obligation by retaining a number of Matched Shares equal to the amount of the minimum withholding tax to be satisfied. Any Matched Shares retained to satisfy a tax withholding obligation shall be available again under the Plan to be Purchased Shares or Matched Shares.</w:t>
      </w:r>
    </w:p>
    <w:p>
      <w:pPr>
        <w:spacing w:after="0" w:line="100" w:lineRule="exact"/>
        <w:rPr>
          <w:rFonts w:ascii="Arial" w:cs="Arial" w:eastAsia="Arial" w:hAnsi="Arial"/>
          <w:sz w:val="19"/>
          <w:szCs w:val="19"/>
          <w:b w:val="1"/>
          <w:bCs w:val="1"/>
          <w:color w:val="auto"/>
        </w:rPr>
      </w:pPr>
    </w:p>
    <w:p>
      <w:pPr>
        <w:jc w:val="both"/>
        <w:ind w:firstLine="656"/>
        <w:spacing w:after="0" w:line="262" w:lineRule="auto"/>
        <w:tabs>
          <w:tab w:leader="none" w:pos="1296" w:val="left"/>
        </w:tabs>
        <w:numPr>
          <w:ilvl w:val="0"/>
          <w:numId w:val="5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Withdrawal</w:t>
      </w:r>
      <w:r>
        <w:rPr>
          <w:rFonts w:ascii="Arial" w:cs="Arial" w:eastAsia="Arial" w:hAnsi="Arial"/>
          <w:sz w:val="21"/>
          <w:szCs w:val="21"/>
          <w:color w:val="auto"/>
        </w:rPr>
        <w:t>. A Participant may withdraw from the Plan by making an online withdrawal election prior to the</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Enrollment Date in accordance with the process established by the Internal Committee. Once a withdrawal becomes effective, no further payroll deductions for the purchase of Shares will be made under the Plan unless the Participant properly completes and submits new enrollment documents by the deadline prescribed by the Internal Committee. A Participant’s withdrawal will not have any effect upon his or her eligibility to participate in the Plan in subsequent Offering Periods or Bonus Offering Periods or in any similar plan that may be adopted by the Company.</w:t>
      </w:r>
    </w:p>
    <w:p>
      <w:pPr>
        <w:spacing w:after="0" w:line="132" w:lineRule="exact"/>
        <w:rPr>
          <w:rFonts w:ascii="Arial" w:cs="Arial" w:eastAsia="Arial" w:hAnsi="Arial"/>
          <w:sz w:val="21"/>
          <w:szCs w:val="21"/>
          <w:b w:val="1"/>
          <w:bCs w:val="1"/>
          <w:color w:val="auto"/>
        </w:rPr>
      </w:pPr>
    </w:p>
    <w:p>
      <w:pPr>
        <w:ind w:left="1300" w:hanging="644"/>
        <w:spacing w:after="0"/>
        <w:tabs>
          <w:tab w:leader="none" w:pos="130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Employment; Cessation of Eligibility</w:t>
      </w:r>
      <w:r>
        <w:rPr>
          <w:rFonts w:ascii="Arial" w:cs="Arial" w:eastAsia="Arial" w:hAnsi="Arial"/>
          <w:sz w:val="22"/>
          <w:szCs w:val="22"/>
          <w:b w:val="1"/>
          <w:bCs w:val="1"/>
          <w:color w:val="auto"/>
        </w:rPr>
        <w:t>.</w:t>
      </w:r>
    </w:p>
    <w:p>
      <w:pPr>
        <w:spacing w:after="0" w:line="171" w:lineRule="exact"/>
        <w:rPr>
          <w:rFonts w:ascii="Arial" w:cs="Arial" w:eastAsia="Arial" w:hAnsi="Arial"/>
          <w:sz w:val="22"/>
          <w:szCs w:val="22"/>
          <w:b w:val="1"/>
          <w:bCs w:val="1"/>
          <w:color w:val="auto"/>
        </w:rPr>
      </w:pPr>
    </w:p>
    <w:p>
      <w:pPr>
        <w:jc w:val="both"/>
        <w:ind w:firstLine="1304"/>
        <w:spacing w:after="0" w:line="264" w:lineRule="auto"/>
        <w:tabs>
          <w:tab w:leader="none" w:pos="1939" w:val="left"/>
        </w:tabs>
        <w:numPr>
          <w:ilvl w:val="1"/>
          <w:numId w:val="55"/>
        </w:numPr>
        <w:rPr>
          <w:rFonts w:ascii="Arial" w:cs="Arial" w:eastAsia="Arial" w:hAnsi="Arial"/>
          <w:sz w:val="21"/>
          <w:szCs w:val="21"/>
          <w:b w:val="1"/>
          <w:bCs w:val="1"/>
          <w:color w:val="auto"/>
        </w:rPr>
      </w:pPr>
      <w:r>
        <w:rPr>
          <w:rFonts w:ascii="Arial" w:cs="Arial" w:eastAsia="Arial" w:hAnsi="Arial"/>
          <w:sz w:val="21"/>
          <w:szCs w:val="21"/>
          <w:color w:val="auto"/>
        </w:rPr>
        <w:t>Upon termination of a Participant’s employment for any reason prior to a Purchase Date, whether voluntary or involuntary, including retirement, death, or as a result of liquidation, dissolution, sale, merger or a similar event affecting the Company or a Participating Subsidiary, or (ii) cessation of a Participant’s eligibility for the Plan, due to his or her promotion to the Managing Director level or above or transfer into the position of Project Consultant prior to a Purchase Date, the payroll deductions credited to the Participant’s Purchase Account will be returned to him or her and no further payroll deductions shall be credited to the Participant’s Purchase Account.</w:t>
      </w:r>
    </w:p>
    <w:p>
      <w:pPr>
        <w:spacing w:after="0" w:line="120" w:lineRule="exact"/>
        <w:rPr>
          <w:rFonts w:ascii="Arial" w:cs="Arial" w:eastAsia="Arial" w:hAnsi="Arial"/>
          <w:sz w:val="21"/>
          <w:szCs w:val="21"/>
          <w:b w:val="1"/>
          <w:bCs w:val="1"/>
          <w:color w:val="auto"/>
        </w:rPr>
      </w:pPr>
    </w:p>
    <w:p>
      <w:pPr>
        <w:jc w:val="both"/>
        <w:ind w:firstLine="1304"/>
        <w:spacing w:after="0" w:line="254" w:lineRule="auto"/>
        <w:tabs>
          <w:tab w:leader="none" w:pos="1938" w:val="left"/>
        </w:tabs>
        <w:numPr>
          <w:ilvl w:val="1"/>
          <w:numId w:val="55"/>
        </w:numPr>
        <w:rPr>
          <w:rFonts w:ascii="Arial" w:cs="Arial" w:eastAsia="Arial" w:hAnsi="Arial"/>
          <w:sz w:val="22"/>
          <w:szCs w:val="22"/>
          <w:b w:val="1"/>
          <w:bCs w:val="1"/>
          <w:color w:val="auto"/>
        </w:rPr>
      </w:pPr>
      <w:r>
        <w:rPr>
          <w:rFonts w:ascii="Arial" w:cs="Arial" w:eastAsia="Arial" w:hAnsi="Arial"/>
          <w:sz w:val="22"/>
          <w:szCs w:val="22"/>
          <w:color w:val="auto"/>
        </w:rPr>
        <w:t>Upon termination of a Participant’s employment due to (i) death or (ii) being Disabled, any then-unvested Matched Shares shall become fully vested on the date on which the Participant’s employment terminates due to the Participant’s death or as a result of the Participant’s being Disabled. "</w:t>
      </w:r>
      <w:r>
        <w:rPr>
          <w:rFonts w:ascii="Arial" w:cs="Arial" w:eastAsia="Arial" w:hAnsi="Arial"/>
          <w:sz w:val="22"/>
          <w:szCs w:val="22"/>
          <w:b w:val="1"/>
          <w:bCs w:val="1"/>
          <w:color w:val="auto"/>
        </w:rPr>
        <w:t>Disabled</w:t>
      </w:r>
      <w:r>
        <w:rPr>
          <w:rFonts w:ascii="Arial" w:cs="Arial" w:eastAsia="Arial" w:hAnsi="Arial"/>
          <w:sz w:val="22"/>
          <w:szCs w:val="22"/>
          <w:color w:val="auto"/>
        </w:rPr>
        <w:t>" shall mean permanently and totally disabled within the meaning of Section 22(e)(3) of the Internal Revenue Code.</w:t>
      </w:r>
    </w:p>
    <w:p>
      <w:pPr>
        <w:spacing w:after="0" w:line="130" w:lineRule="exact"/>
        <w:rPr>
          <w:rFonts w:ascii="Arial" w:cs="Arial" w:eastAsia="Arial" w:hAnsi="Arial"/>
          <w:sz w:val="22"/>
          <w:szCs w:val="22"/>
          <w:b w:val="1"/>
          <w:bCs w:val="1"/>
          <w:color w:val="auto"/>
        </w:rPr>
      </w:pPr>
    </w:p>
    <w:p>
      <w:pPr>
        <w:jc w:val="both"/>
        <w:ind w:firstLine="1304"/>
        <w:spacing w:after="0" w:line="253" w:lineRule="auto"/>
        <w:tabs>
          <w:tab w:leader="none" w:pos="1941" w:val="left"/>
        </w:tabs>
        <w:numPr>
          <w:ilvl w:val="1"/>
          <w:numId w:val="55"/>
        </w:numPr>
        <w:rPr>
          <w:rFonts w:ascii="Arial" w:cs="Arial" w:eastAsia="Arial" w:hAnsi="Arial"/>
          <w:sz w:val="22"/>
          <w:szCs w:val="22"/>
          <w:b w:val="1"/>
          <w:bCs w:val="1"/>
          <w:color w:val="auto"/>
        </w:rPr>
      </w:pPr>
      <w:r>
        <w:rPr>
          <w:rFonts w:ascii="Arial" w:cs="Arial" w:eastAsia="Arial" w:hAnsi="Arial"/>
          <w:sz w:val="22"/>
          <w:szCs w:val="22"/>
          <w:color w:val="auto"/>
        </w:rPr>
        <w:t>Upon termination of a Participant’s employment due to any reason other than (i) death or (ii) being Disabled, any then-unvested Matched Shares shall be forfeited. Any forfeited Matched Shares shall be available again under the Plan to be Purchased Shares or Matched Shares.</w:t>
      </w:r>
    </w:p>
    <w:p>
      <w:pPr>
        <w:spacing w:after="0" w:line="125" w:lineRule="exact"/>
        <w:rPr>
          <w:rFonts w:ascii="Arial" w:cs="Arial" w:eastAsia="Arial" w:hAnsi="Arial"/>
          <w:sz w:val="22"/>
          <w:szCs w:val="22"/>
          <w:b w:val="1"/>
          <w:bCs w:val="1"/>
          <w:color w:val="auto"/>
        </w:rPr>
      </w:pPr>
    </w:p>
    <w:p>
      <w:pPr>
        <w:ind w:left="1300" w:hanging="644"/>
        <w:spacing w:after="0"/>
        <w:tabs>
          <w:tab w:leader="none" w:pos="130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Administration</w:t>
      </w:r>
      <w:r>
        <w:rPr>
          <w:rFonts w:ascii="Arial" w:cs="Arial" w:eastAsia="Arial" w:hAnsi="Arial"/>
          <w:sz w:val="22"/>
          <w:szCs w:val="22"/>
          <w:color w:val="auto"/>
        </w:rPr>
        <w:t>.</w:t>
      </w:r>
    </w:p>
    <w:p>
      <w:pPr>
        <w:spacing w:after="0" w:line="171" w:lineRule="exact"/>
        <w:rPr>
          <w:rFonts w:ascii="Arial" w:cs="Arial" w:eastAsia="Arial" w:hAnsi="Arial"/>
          <w:sz w:val="22"/>
          <w:szCs w:val="22"/>
          <w:b w:val="1"/>
          <w:bCs w:val="1"/>
          <w:color w:val="auto"/>
        </w:rPr>
      </w:pPr>
    </w:p>
    <w:p>
      <w:pPr>
        <w:ind w:firstLine="1304"/>
        <w:spacing w:after="0" w:line="276" w:lineRule="auto"/>
        <w:tabs>
          <w:tab w:leader="none" w:pos="1939" w:val="left"/>
        </w:tabs>
        <w:numPr>
          <w:ilvl w:val="1"/>
          <w:numId w:val="55"/>
        </w:numPr>
        <w:rPr>
          <w:rFonts w:ascii="Arial" w:cs="Arial" w:eastAsia="Arial" w:hAnsi="Arial"/>
          <w:sz w:val="22"/>
          <w:szCs w:val="22"/>
          <w:b w:val="1"/>
          <w:bCs w:val="1"/>
          <w:color w:val="auto"/>
        </w:rPr>
      </w:pPr>
      <w:r>
        <w:rPr>
          <w:rFonts w:ascii="Arial" w:cs="Arial" w:eastAsia="Arial" w:hAnsi="Arial"/>
          <w:sz w:val="22"/>
          <w:szCs w:val="22"/>
          <w:color w:val="auto"/>
        </w:rPr>
        <w:t>The Committee shall have the discretionary authority to determine the time and frequency of Offering Periods and Bonus Offering Periods, the terms and conditions for</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purchase of Shares and the receipt of Matched Shares, the percentage for Matched Shares, and any other term or feature of the Plan that affects the cost of the Plan to the Company.</w:t>
      </w:r>
    </w:p>
    <w:p>
      <w:pPr>
        <w:spacing w:after="0" w:line="121" w:lineRule="exact"/>
        <w:rPr>
          <w:sz w:val="20"/>
          <w:szCs w:val="20"/>
          <w:color w:val="auto"/>
        </w:rPr>
      </w:pPr>
    </w:p>
    <w:p>
      <w:pPr>
        <w:jc w:val="both"/>
        <w:ind w:firstLine="1304"/>
        <w:spacing w:after="0" w:line="259" w:lineRule="auto"/>
        <w:tabs>
          <w:tab w:leader="none" w:pos="1938"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The Internal Committee shall have the discretionary authority to do everything necessary and appropriate to administer the operations of the Plan, including, without limitation, interpreting the provisions of the Plan, and setting and revising operational procedures from time to time.</w:t>
      </w:r>
    </w:p>
    <w:p>
      <w:pPr>
        <w:spacing w:after="0" w:line="126" w:lineRule="exact"/>
        <w:rPr>
          <w:rFonts w:ascii="Arial" w:cs="Arial" w:eastAsia="Arial" w:hAnsi="Arial"/>
          <w:sz w:val="22"/>
          <w:szCs w:val="22"/>
          <w:b w:val="1"/>
          <w:bCs w:val="1"/>
          <w:color w:val="auto"/>
        </w:rPr>
      </w:pPr>
    </w:p>
    <w:p>
      <w:pPr>
        <w:jc w:val="both"/>
        <w:ind w:firstLine="1304"/>
        <w:spacing w:after="0" w:line="251" w:lineRule="auto"/>
        <w:tabs>
          <w:tab w:leader="none" w:pos="1941"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All actions, decisions and determinations of, and interpretations by, the Committee or the Internal Committee with respect to the Plan shall be final and binding upon all Participants and upon their executors, administrators, personal representatives, heirs and legatees. No member of the Board of Directors, the Compensation Committee of the Board of Directors, or the Internal Committee shall be liable for any action, decision, determination or interpretation made in good faith with respect to the Plan or any right granted hereunder.</w:t>
      </w:r>
    </w:p>
    <w:p>
      <w:pPr>
        <w:spacing w:after="0" w:line="129" w:lineRule="exact"/>
        <w:rPr>
          <w:rFonts w:ascii="Arial" w:cs="Arial" w:eastAsia="Arial" w:hAnsi="Arial"/>
          <w:sz w:val="22"/>
          <w:szCs w:val="22"/>
          <w:b w:val="1"/>
          <w:bCs w:val="1"/>
          <w:color w:val="auto"/>
        </w:rPr>
      </w:pPr>
    </w:p>
    <w:p>
      <w:pPr>
        <w:jc w:val="both"/>
        <w:ind w:firstLine="1304"/>
        <w:spacing w:after="0" w:line="298" w:lineRule="auto"/>
        <w:tabs>
          <w:tab w:leader="none" w:pos="1938"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Broker</w:t>
      </w:r>
      <w:r>
        <w:rPr>
          <w:rFonts w:ascii="Arial" w:cs="Arial" w:eastAsia="Arial" w:hAnsi="Arial"/>
          <w:sz w:val="19"/>
          <w:szCs w:val="19"/>
          <w:color w:val="auto"/>
        </w:rPr>
        <w:t>. The Company, the Board, the Committee, or the Internal Committee shall engage the Broker to</w:t>
      </w:r>
      <w:r>
        <w:rPr>
          <w:rFonts w:ascii="Arial" w:cs="Arial" w:eastAsia="Arial" w:hAnsi="Arial"/>
          <w:sz w:val="19"/>
          <w:szCs w:val="19"/>
          <w:b w:val="1"/>
          <w:bCs w:val="1"/>
          <w:color w:val="auto"/>
        </w:rPr>
        <w:t xml:space="preserve"> </w:t>
      </w:r>
      <w:r>
        <w:rPr>
          <w:rFonts w:ascii="Arial" w:cs="Arial" w:eastAsia="Arial" w:hAnsi="Arial"/>
          <w:sz w:val="19"/>
          <w:szCs w:val="19"/>
          <w:color w:val="auto"/>
        </w:rPr>
        <w:t>perform certain ministerial and procedural duties under the Plan including, but not limited to, mailing and receiving notices contemplated under the Plan, determining the number of Purchased Shares for each Participant, maintaining or causing to be maintained the Purchase Account and the Brokerage Account, disbursing funds maintained in the Purchase Account or proceeds from the sale of Shares through the Brokerage Account, and filing with the appropriate tax authorities proper tax returns and forms (including information returns) and providing to each Participant statements as required by law or regulation.</w:t>
      </w:r>
    </w:p>
    <w:p>
      <w:pPr>
        <w:spacing w:after="0" w:line="86" w:lineRule="exact"/>
        <w:rPr>
          <w:rFonts w:ascii="Arial" w:cs="Arial" w:eastAsia="Arial" w:hAnsi="Arial"/>
          <w:sz w:val="19"/>
          <w:szCs w:val="19"/>
          <w:b w:val="1"/>
          <w:bCs w:val="1"/>
          <w:color w:val="auto"/>
        </w:rPr>
      </w:pPr>
    </w:p>
    <w:p>
      <w:pPr>
        <w:jc w:val="both"/>
        <w:ind w:firstLine="1304"/>
        <w:spacing w:after="0" w:line="288" w:lineRule="auto"/>
        <w:tabs>
          <w:tab w:leader="none" w:pos="1941"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Claims Procedures</w:t>
      </w:r>
      <w:r>
        <w:rPr>
          <w:rFonts w:ascii="Arial" w:cs="Arial" w:eastAsia="Arial" w:hAnsi="Arial"/>
          <w:sz w:val="19"/>
          <w:szCs w:val="19"/>
          <w:color w:val="auto"/>
        </w:rPr>
        <w:t>. Any person claiming a benefit, or requesting an interpretation or ruling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or requesting information under the Plan, shall present his or her request in writing to the Internal Committee. Whenever a request for benefits under the Plan is wholly or partially denied, the Internal Committee shall notify the person claiming such benefits of its decision in writing. Such notification shall contain (1) specific reasons for the denial of the claim, (2) specific reference to pertinent Plan provisions, (3) a description of any additional material or information necessary for such person to perfect such claim and an explanation of why such material or information is necessary, and (4) information as to the steps to be taken if the person wishes to submit a request for review. Such notification shall be given within 90 days after the claim is received by the Internal Committee (or within 180 days, if special circumstances require an extension of time for processing the claim, and if written notice of such extension and circumstances is given to such person within the initial 90-day period). Within 60 days after the date on which a person receives a written notice of a denied claim, such person (or his or her duly authorized representative) may (1) file a written request with the Internal Committee for a review of his or her denied claim and of pertinent documents and (2) submit written issues and comments to the Internal Committee. The Internal Committee shall notify such person of its decision in writing. Such notification shall be written in a manner calculated to be understood by such person and shall contain specific reasons for the decision as well as specific references to pertinent Plan provisions. The decision on review shall be made within 60 days after the request for review is received by the Internal Committee (or within 120 days, if special circumstances require an extension of time for processing the request, such as an election by the Internal Committee to hold a hearing, and if written notice of such extension and</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circumstances is given to such person within the initial 60-day period). A Participant may not file a lawsuit until all administrative remedies under the Plan have been exhausted.</w:t>
      </w:r>
    </w:p>
    <w:p>
      <w:pPr>
        <w:spacing w:after="0" w:line="115" w:lineRule="exact"/>
        <w:rPr>
          <w:sz w:val="20"/>
          <w:szCs w:val="20"/>
          <w:color w:val="auto"/>
        </w:rPr>
      </w:pPr>
    </w:p>
    <w:p>
      <w:pPr>
        <w:jc w:val="both"/>
        <w:ind w:firstLine="1304"/>
        <w:spacing w:after="0" w:line="251" w:lineRule="auto"/>
        <w:tabs>
          <w:tab w:leader="none" w:pos="1944" w:val="left"/>
        </w:tabs>
        <w:numPr>
          <w:ilvl w:val="2"/>
          <w:numId w:val="5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Indemnification</w:t>
      </w:r>
      <w:r>
        <w:rPr>
          <w:rFonts w:ascii="Arial" w:cs="Arial" w:eastAsia="Arial" w:hAnsi="Arial"/>
          <w:sz w:val="22"/>
          <w:szCs w:val="22"/>
          <w:color w:val="auto"/>
        </w:rPr>
        <w:t>. No member of the Board of Directors, the Committee, or the Internal Committee, nor</w:t>
      </w:r>
      <w:r>
        <w:rPr>
          <w:rFonts w:ascii="Arial" w:cs="Arial" w:eastAsia="Arial" w:hAnsi="Arial"/>
          <w:sz w:val="22"/>
          <w:szCs w:val="22"/>
          <w:b w:val="1"/>
          <w:bCs w:val="1"/>
          <w:color w:val="auto"/>
        </w:rPr>
        <w:t xml:space="preserve"> </w:t>
      </w:r>
      <w:r>
        <w:rPr>
          <w:rFonts w:ascii="Arial" w:cs="Arial" w:eastAsia="Arial" w:hAnsi="Arial"/>
          <w:sz w:val="22"/>
          <w:szCs w:val="22"/>
          <w:color w:val="auto"/>
        </w:rPr>
        <w:t>any officer or other employee of the Company acting on behalf of the Board of Directors, the Committee, or the Internal Committee shall be personally liable for any action, determination, or interpretation taken or made in good faith with respect to the Plan, and all members of the Board of Directors, the Committee, and the Internal Committee, each officer of the Company and each employee of the Company acting on behalf of the Board of Directors, the Committee, of the Internal Committee shall, to the extent permitted by law, be fully indemnified and protected by the Company in respect of any such action, determination, or interpretation.</w:t>
      </w:r>
    </w:p>
    <w:p>
      <w:pPr>
        <w:spacing w:after="0" w:line="132" w:lineRule="exact"/>
        <w:rPr>
          <w:rFonts w:ascii="Arial" w:cs="Arial" w:eastAsia="Arial" w:hAnsi="Arial"/>
          <w:sz w:val="22"/>
          <w:szCs w:val="22"/>
          <w:b w:val="1"/>
          <w:bCs w:val="1"/>
          <w:color w:val="auto"/>
        </w:rPr>
      </w:pPr>
    </w:p>
    <w:p>
      <w:pPr>
        <w:jc w:val="both"/>
        <w:ind w:firstLine="656"/>
        <w:spacing w:after="0" w:line="274" w:lineRule="auto"/>
        <w:tabs>
          <w:tab w:leader="none" w:pos="1296" w:val="left"/>
        </w:tabs>
        <w:numPr>
          <w:ilvl w:val="1"/>
          <w:numId w:val="5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Interest; Use of Funds</w:t>
      </w:r>
      <w:r>
        <w:rPr>
          <w:rFonts w:ascii="Arial" w:cs="Arial" w:eastAsia="Arial" w:hAnsi="Arial"/>
          <w:sz w:val="21"/>
          <w:szCs w:val="21"/>
          <w:color w:val="auto"/>
        </w:rPr>
        <w:t>. No interest shall accrue on the payroll deductions of a Participant to the Plan. All</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payroll deductions received or held by the Company under this Plan may be used by the Company for any corporate purpose and the Company shall not be obligated to segregate such Participant payroll deductions.</w:t>
      </w:r>
    </w:p>
    <w:p>
      <w:pPr>
        <w:spacing w:after="0" w:line="104" w:lineRule="exact"/>
        <w:rPr>
          <w:rFonts w:ascii="Arial" w:cs="Arial" w:eastAsia="Arial" w:hAnsi="Arial"/>
          <w:sz w:val="21"/>
          <w:szCs w:val="21"/>
          <w:b w:val="1"/>
          <w:bCs w:val="1"/>
          <w:color w:val="auto"/>
        </w:rPr>
      </w:pPr>
    </w:p>
    <w:p>
      <w:pPr>
        <w:ind w:left="1300" w:hanging="644"/>
        <w:spacing w:after="0"/>
        <w:tabs>
          <w:tab w:leader="none" w:pos="1300" w:val="left"/>
        </w:tabs>
        <w:numPr>
          <w:ilvl w:val="1"/>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Stock</w:t>
      </w:r>
      <w:r>
        <w:rPr>
          <w:rFonts w:ascii="Arial" w:cs="Arial" w:eastAsia="Arial" w:hAnsi="Arial"/>
          <w:sz w:val="22"/>
          <w:szCs w:val="22"/>
          <w:b w:val="1"/>
          <w:bCs w:val="1"/>
          <w:color w:val="auto"/>
        </w:rPr>
        <w:t>.</w:t>
      </w:r>
    </w:p>
    <w:p>
      <w:pPr>
        <w:spacing w:after="0" w:line="171" w:lineRule="exact"/>
        <w:rPr>
          <w:rFonts w:ascii="Arial" w:cs="Arial" w:eastAsia="Arial" w:hAnsi="Arial"/>
          <w:sz w:val="22"/>
          <w:szCs w:val="22"/>
          <w:b w:val="1"/>
          <w:bCs w:val="1"/>
          <w:color w:val="auto"/>
        </w:rPr>
      </w:pPr>
    </w:p>
    <w:p>
      <w:pPr>
        <w:ind w:left="1940" w:hanging="636"/>
        <w:spacing w:after="0"/>
        <w:tabs>
          <w:tab w:leader="none" w:pos="1940" w:val="left"/>
        </w:tabs>
        <w:numPr>
          <w:ilvl w:val="2"/>
          <w:numId w:val="58"/>
        </w:numPr>
        <w:rPr>
          <w:rFonts w:ascii="Arial" w:cs="Arial" w:eastAsia="Arial" w:hAnsi="Arial"/>
          <w:sz w:val="19"/>
          <w:szCs w:val="19"/>
          <w:b w:val="1"/>
          <w:bCs w:val="1"/>
          <w:color w:val="auto"/>
        </w:rPr>
      </w:pPr>
      <w:r>
        <w:rPr>
          <w:rFonts w:ascii="Arial" w:cs="Arial" w:eastAsia="Arial" w:hAnsi="Arial"/>
          <w:sz w:val="19"/>
          <w:szCs w:val="19"/>
          <w:color w:val="auto"/>
        </w:rPr>
        <w:t>The Shares placed into the Brokerage Accounts via this Plan shall be: (i) common stock of the Company;</w:t>
      </w:r>
    </w:p>
    <w:p>
      <w:pPr>
        <w:spacing w:after="0" w:line="55" w:lineRule="exact"/>
        <w:rPr>
          <w:rFonts w:ascii="Arial" w:cs="Arial" w:eastAsia="Arial" w:hAnsi="Arial"/>
          <w:sz w:val="19"/>
          <w:szCs w:val="19"/>
          <w:b w:val="1"/>
          <w:bCs w:val="1"/>
          <w:color w:val="auto"/>
        </w:rPr>
      </w:pPr>
    </w:p>
    <w:p>
      <w:pPr>
        <w:jc w:val="both"/>
        <w:ind w:firstLine="8"/>
        <w:spacing w:after="0" w:line="251" w:lineRule="auto"/>
        <w:tabs>
          <w:tab w:leader="none" w:pos="323" w:val="left"/>
        </w:tabs>
        <w:numPr>
          <w:ilvl w:val="0"/>
          <w:numId w:val="59"/>
        </w:numPr>
        <w:rPr>
          <w:rFonts w:ascii="Arial" w:cs="Arial" w:eastAsia="Arial" w:hAnsi="Arial"/>
          <w:sz w:val="22"/>
          <w:szCs w:val="22"/>
          <w:color w:val="auto"/>
        </w:rPr>
      </w:pPr>
      <w:r>
        <w:rPr>
          <w:rFonts w:ascii="Arial" w:cs="Arial" w:eastAsia="Arial" w:hAnsi="Arial"/>
          <w:sz w:val="22"/>
          <w:szCs w:val="22"/>
          <w:color w:val="auto"/>
        </w:rPr>
        <w:t>registered securities as required under the 1933 Act and the 1934 Act; (iii) listed on the NASDAQ or on such other exchange as the Shares may be listed; and (iv) either authorized but unissued shares, treasury shares, or shares purchased by the Company on the open market.</w:t>
      </w:r>
    </w:p>
    <w:p>
      <w:pPr>
        <w:spacing w:after="0" w:line="133" w:lineRule="exact"/>
        <w:rPr>
          <w:rFonts w:ascii="Arial" w:cs="Arial" w:eastAsia="Arial" w:hAnsi="Arial"/>
          <w:sz w:val="22"/>
          <w:szCs w:val="22"/>
          <w:color w:val="auto"/>
        </w:rPr>
      </w:pPr>
    </w:p>
    <w:p>
      <w:pPr>
        <w:jc w:val="both"/>
        <w:ind w:firstLine="1304"/>
        <w:spacing w:after="0" w:line="248" w:lineRule="auto"/>
        <w:tabs>
          <w:tab w:leader="none" w:pos="1938" w:val="left"/>
        </w:tabs>
        <w:numPr>
          <w:ilvl w:val="2"/>
          <w:numId w:val="59"/>
        </w:numPr>
        <w:rPr>
          <w:rFonts w:ascii="Arial" w:cs="Arial" w:eastAsia="Arial" w:hAnsi="Arial"/>
          <w:sz w:val="22"/>
          <w:szCs w:val="22"/>
          <w:b w:val="1"/>
          <w:bCs w:val="1"/>
          <w:color w:val="auto"/>
        </w:rPr>
      </w:pPr>
      <w:r>
        <w:rPr>
          <w:rFonts w:ascii="Arial" w:cs="Arial" w:eastAsia="Arial" w:hAnsi="Arial"/>
          <w:sz w:val="22"/>
          <w:szCs w:val="22"/>
          <w:color w:val="auto"/>
        </w:rPr>
        <w:t>Subject to adjustment upon changes in capitalization of the Company as provided in Section 15, the maximum number of Shares made available for sale or issuance under the Plan is: as of June 1, 2015, three hundred thousand (300,000) Shares; and, as of May 8, 2000, an additional four hundred thousand (400,000) Shares for a total of seven hundred thousand (700,000) Shares. If, on a given Purchase Date, the number of Shares to be allocated to Participants’ Brokerage Accounts and the corresponding Matched Shares exceed the number of Shares then available under the Plan, a pro rata allocation of the Shares remaining available shall be made in as uniform a manner as shall be practicable and as shall be determined to be equitable.</w:t>
      </w:r>
    </w:p>
    <w:p>
      <w:pPr>
        <w:spacing w:after="0" w:line="154" w:lineRule="exact"/>
        <w:rPr>
          <w:rFonts w:ascii="Arial" w:cs="Arial" w:eastAsia="Arial" w:hAnsi="Arial"/>
          <w:sz w:val="22"/>
          <w:szCs w:val="22"/>
          <w:b w:val="1"/>
          <w:bCs w:val="1"/>
          <w:color w:val="auto"/>
        </w:rPr>
      </w:pPr>
    </w:p>
    <w:p>
      <w:pPr>
        <w:jc w:val="both"/>
        <w:ind w:firstLine="1304"/>
        <w:spacing w:after="0" w:line="253" w:lineRule="auto"/>
        <w:tabs>
          <w:tab w:leader="none" w:pos="1941" w:val="left"/>
        </w:tabs>
        <w:numPr>
          <w:ilvl w:val="2"/>
          <w:numId w:val="59"/>
        </w:numPr>
        <w:rPr>
          <w:rFonts w:ascii="Arial" w:cs="Arial" w:eastAsia="Arial" w:hAnsi="Arial"/>
          <w:sz w:val="22"/>
          <w:szCs w:val="22"/>
          <w:b w:val="1"/>
          <w:bCs w:val="1"/>
          <w:color w:val="auto"/>
        </w:rPr>
      </w:pPr>
      <w:r>
        <w:rPr>
          <w:rFonts w:ascii="Arial" w:cs="Arial" w:eastAsia="Arial" w:hAnsi="Arial"/>
          <w:sz w:val="22"/>
          <w:szCs w:val="22"/>
          <w:color w:val="auto"/>
        </w:rPr>
        <w:t>The Participant agrees that the right to vote any Matched Shares which have not vested will be held by the Company and the Participant shall be required to execute an irrevocable proxy in favor of the Company for the Matched Shares in the form supplied by the Company.</w:t>
      </w:r>
    </w:p>
    <w:p>
      <w:pPr>
        <w:spacing w:after="0" w:line="125" w:lineRule="exact"/>
        <w:rPr>
          <w:rFonts w:ascii="Arial" w:cs="Arial" w:eastAsia="Arial" w:hAnsi="Arial"/>
          <w:sz w:val="22"/>
          <w:szCs w:val="22"/>
          <w:b w:val="1"/>
          <w:bCs w:val="1"/>
          <w:color w:val="auto"/>
        </w:rPr>
      </w:pPr>
    </w:p>
    <w:p>
      <w:pPr>
        <w:jc w:val="both"/>
        <w:ind w:firstLine="656"/>
        <w:spacing w:after="0" w:line="253" w:lineRule="auto"/>
        <w:tabs>
          <w:tab w:leader="none" w:pos="1296" w:val="left"/>
        </w:tabs>
        <w:numPr>
          <w:ilvl w:val="1"/>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Assignability</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the payroll deductions credited to a Participant’s Purchase Account, nor any rights to</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Shares under the Plan, may be assigned, transferred, pledged or otherwise disposed of in any way (other than by will and the laws of descent and distribution) by the Participant. Any such attempt at assignment, transfer, pledge or other disposition shall be without effect, except that the Internal Committee may treat such act as an election to withdraw in accordance with Section 9 hereof.</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4" w:lineRule="exact"/>
        <w:rPr>
          <w:sz w:val="20"/>
          <w:szCs w:val="20"/>
          <w:color w:val="auto"/>
        </w:rPr>
      </w:pPr>
    </w:p>
    <w:p>
      <w:pPr>
        <w:ind w:left="644" w:hanging="644"/>
        <w:spacing w:after="0"/>
        <w:tabs>
          <w:tab w:leader="none" w:pos="644"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 to Number of Shares</w:t>
      </w:r>
      <w:r>
        <w:rPr>
          <w:rFonts w:ascii="Arial" w:cs="Arial" w:eastAsia="Arial" w:hAnsi="Arial"/>
          <w:sz w:val="22"/>
          <w:szCs w:val="22"/>
          <w:color w:val="auto"/>
        </w:rPr>
        <w:t>.</w:t>
      </w:r>
    </w:p>
    <w:p>
      <w:pPr>
        <w:spacing w:after="0" w:line="165" w:lineRule="exact"/>
        <w:rPr>
          <w:rFonts w:ascii="Arial" w:cs="Arial" w:eastAsia="Arial" w:hAnsi="Arial"/>
          <w:sz w:val="22"/>
          <w:szCs w:val="22"/>
          <w:b w:val="1"/>
          <w:bCs w:val="1"/>
          <w:color w:val="auto"/>
        </w:rPr>
      </w:pPr>
    </w:p>
    <w:p>
      <w:pPr>
        <w:jc w:val="both"/>
        <w:ind w:left="-656" w:firstLine="1304"/>
        <w:spacing w:after="0" w:line="292" w:lineRule="auto"/>
        <w:tabs>
          <w:tab w:leader="none" w:pos="1283" w:val="left"/>
        </w:tabs>
        <w:numPr>
          <w:ilvl w:val="1"/>
          <w:numId w:val="6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Adjustment</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any required action by the shareholders of the Company, the number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Participant may acquire per Offering Period or Bonus Offering Period, as well as the price per Share, shall be proportionately adjusted for any increase or decrease in the number of issued Shares resulting from a stock split, reverse stock split, stock dividend, combination or reclassification of the common stock of the Company, or any other increase or decrease in the number of Shares effected without receipt of consideration by the Company; provided, however, that conversion of any convertible securities of the Company shall not be deemed to have been “effected without receipt of consideration.” Such adjustment shall be made by the Board or the Committee,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to be credited to a Participant’s Brokerage Account on a Purchase Date.</w:t>
      </w:r>
    </w:p>
    <w:p>
      <w:pPr>
        <w:spacing w:after="0" w:line="95" w:lineRule="exact"/>
        <w:rPr>
          <w:rFonts w:ascii="Arial" w:cs="Arial" w:eastAsia="Arial" w:hAnsi="Arial"/>
          <w:sz w:val="19"/>
          <w:szCs w:val="19"/>
          <w:b w:val="1"/>
          <w:bCs w:val="1"/>
          <w:color w:val="auto"/>
        </w:rPr>
      </w:pPr>
    </w:p>
    <w:p>
      <w:pPr>
        <w:jc w:val="both"/>
        <w:ind w:left="-656" w:firstLine="1304"/>
        <w:spacing w:after="0" w:line="253" w:lineRule="auto"/>
        <w:tabs>
          <w:tab w:leader="none" w:pos="1282" w:val="left"/>
        </w:tabs>
        <w:numPr>
          <w:ilvl w:val="1"/>
          <w:numId w:val="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Merger or Asset Sale</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of a proposed sale of all or substantially all of the assets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or the merger of the Company with or into another corporation, the terms and conditions of the then-outstanding Offering Period and Bonus Offering Period shall be assumed or an equivalent option substituted by the successor corporation or a parent or subsidiary of the successor corporation. In the event that the successor corporation refuses to so assume or substitute, then either, in the discretion of the Committee:</w:t>
      </w:r>
    </w:p>
    <w:p>
      <w:pPr>
        <w:spacing w:after="0" w:line="130" w:lineRule="exact"/>
        <w:rPr>
          <w:rFonts w:ascii="Arial" w:cs="Arial" w:eastAsia="Arial" w:hAnsi="Arial"/>
          <w:sz w:val="22"/>
          <w:szCs w:val="22"/>
          <w:b w:val="1"/>
          <w:bCs w:val="1"/>
          <w:color w:val="auto"/>
        </w:rPr>
      </w:pPr>
    </w:p>
    <w:p>
      <w:pPr>
        <w:jc w:val="both"/>
        <w:ind w:left="-656" w:firstLine="1991"/>
        <w:spacing w:after="0" w:line="264" w:lineRule="auto"/>
        <w:tabs>
          <w:tab w:leader="none" w:pos="1997" w:val="left"/>
        </w:tabs>
        <w:numPr>
          <w:ilvl w:val="2"/>
          <w:numId w:val="60"/>
        </w:numPr>
        <w:rPr>
          <w:rFonts w:ascii="Arial" w:cs="Arial" w:eastAsia="Arial" w:hAnsi="Arial"/>
          <w:sz w:val="21"/>
          <w:szCs w:val="21"/>
          <w:color w:val="auto"/>
        </w:rPr>
      </w:pPr>
      <w:r>
        <w:rPr>
          <w:rFonts w:ascii="Arial" w:cs="Arial" w:eastAsia="Arial" w:hAnsi="Arial"/>
          <w:sz w:val="21"/>
          <w:szCs w:val="21"/>
          <w:color w:val="auto"/>
        </w:rPr>
        <w:t>The Offering Period and/or Bonus Offering Period then in progress shall be shortened by setting a new Purchase Date (the “</w:t>
      </w:r>
      <w:r>
        <w:rPr>
          <w:rFonts w:ascii="Arial" w:cs="Arial" w:eastAsia="Arial" w:hAnsi="Arial"/>
          <w:sz w:val="21"/>
          <w:szCs w:val="21"/>
          <w:u w:val="single" w:color="auto"/>
          <w:color w:val="auto"/>
        </w:rPr>
        <w:t>New Purchase Date</w:t>
      </w:r>
      <w:r>
        <w:rPr>
          <w:rFonts w:ascii="Arial" w:cs="Arial" w:eastAsia="Arial" w:hAnsi="Arial"/>
          <w:sz w:val="21"/>
          <w:szCs w:val="21"/>
          <w:color w:val="auto"/>
        </w:rPr>
        <w:t>”). The New Purchase Date shall be before the date of the Company’s proposed sale or merger. Each Participant shall be notified in writing, as soon as administratively practicable prior to the New Purchase Date, that the Purchase Date has been changed to the New Purchase Date and that the stock shall be allocated to the Participant’s Brokerage Account on the New Purchase Date, except to the extent that, prior to such date, the Participant withdraws from the Offering Period as provided in Section 9 hereof; or</w:t>
      </w:r>
    </w:p>
    <w:p>
      <w:pPr>
        <w:spacing w:after="0" w:line="120" w:lineRule="exact"/>
        <w:rPr>
          <w:rFonts w:ascii="Arial" w:cs="Arial" w:eastAsia="Arial" w:hAnsi="Arial"/>
          <w:sz w:val="21"/>
          <w:szCs w:val="21"/>
          <w:color w:val="auto"/>
        </w:rPr>
      </w:pPr>
    </w:p>
    <w:p>
      <w:pPr>
        <w:ind w:left="-656" w:firstLine="1931"/>
        <w:spacing w:after="0" w:line="263" w:lineRule="auto"/>
        <w:tabs>
          <w:tab w:leader="none" w:pos="1936" w:val="left"/>
        </w:tabs>
        <w:numPr>
          <w:ilvl w:val="2"/>
          <w:numId w:val="60"/>
        </w:numPr>
        <w:rPr>
          <w:rFonts w:ascii="Arial" w:cs="Arial" w:eastAsia="Arial" w:hAnsi="Arial"/>
          <w:sz w:val="22"/>
          <w:szCs w:val="22"/>
          <w:color w:val="auto"/>
        </w:rPr>
      </w:pPr>
      <w:r>
        <w:rPr>
          <w:rFonts w:ascii="Arial" w:cs="Arial" w:eastAsia="Arial" w:hAnsi="Arial"/>
          <w:sz w:val="22"/>
          <w:szCs w:val="22"/>
          <w:color w:val="auto"/>
        </w:rPr>
        <w:t>The Offering Period and/or Bonus Offering Period then in progress shall be cancelled and any amounts accumulated in the Purchase Share Account shall be returned to the Participant.</w:t>
      </w:r>
    </w:p>
    <w:p>
      <w:pPr>
        <w:spacing w:after="0" w:line="128" w:lineRule="exact"/>
        <w:rPr>
          <w:rFonts w:ascii="Arial" w:cs="Arial" w:eastAsia="Arial" w:hAnsi="Arial"/>
          <w:sz w:val="22"/>
          <w:szCs w:val="22"/>
          <w:color w:val="auto"/>
        </w:rPr>
      </w:pPr>
    </w:p>
    <w:p>
      <w:pPr>
        <w:ind w:left="644" w:hanging="644"/>
        <w:spacing w:after="0"/>
        <w:tabs>
          <w:tab w:leader="none" w:pos="644"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 or Termination of the Plan</w:t>
      </w:r>
      <w:r>
        <w:rPr>
          <w:rFonts w:ascii="Arial" w:cs="Arial" w:eastAsia="Arial" w:hAnsi="Arial"/>
          <w:sz w:val="22"/>
          <w:szCs w:val="22"/>
          <w:color w:val="auto"/>
        </w:rPr>
        <w:t>.</w:t>
      </w:r>
    </w:p>
    <w:p>
      <w:pPr>
        <w:spacing w:after="0" w:line="171" w:lineRule="exact"/>
        <w:rPr>
          <w:rFonts w:ascii="Arial" w:cs="Arial" w:eastAsia="Arial" w:hAnsi="Arial"/>
          <w:sz w:val="22"/>
          <w:szCs w:val="22"/>
          <w:b w:val="1"/>
          <w:bCs w:val="1"/>
          <w:color w:val="auto"/>
        </w:rPr>
      </w:pPr>
    </w:p>
    <w:p>
      <w:pPr>
        <w:jc w:val="both"/>
        <w:ind w:left="-656" w:firstLine="1304"/>
        <w:spacing w:after="0" w:line="302" w:lineRule="auto"/>
        <w:tabs>
          <w:tab w:leader="none" w:pos="1283" w:val="left"/>
        </w:tabs>
        <w:numPr>
          <w:ilvl w:val="1"/>
          <w:numId w:val="60"/>
        </w:numPr>
        <w:rPr>
          <w:rFonts w:ascii="Arial" w:cs="Arial" w:eastAsia="Arial" w:hAnsi="Arial"/>
          <w:sz w:val="19"/>
          <w:szCs w:val="19"/>
          <w:b w:val="1"/>
          <w:bCs w:val="1"/>
          <w:color w:val="auto"/>
        </w:rPr>
      </w:pPr>
      <w:r>
        <w:rPr>
          <w:rFonts w:ascii="Arial" w:cs="Arial" w:eastAsia="Arial" w:hAnsi="Arial"/>
          <w:sz w:val="19"/>
          <w:szCs w:val="19"/>
          <w:color w:val="auto"/>
        </w:rPr>
        <w:t>Subject to Section 16(b) below: (i) the Board of Directors or the Committee may at any time and for any reason terminate or discontinue the Plan without notice, and (ii) the Committee may at any time and for any reason amend, modify, or suspend the Plan without notice. To the extent necessary to comply with any applicable law, regulation or stock exchange rule, the Company shall obtain shareholder approval in such a manner and to such a degree as required.</w:t>
      </w:r>
    </w:p>
    <w:p>
      <w:pPr>
        <w:spacing w:after="0" w:line="88" w:lineRule="exact"/>
        <w:rPr>
          <w:rFonts w:ascii="Arial" w:cs="Arial" w:eastAsia="Arial" w:hAnsi="Arial"/>
          <w:sz w:val="19"/>
          <w:szCs w:val="19"/>
          <w:b w:val="1"/>
          <w:bCs w:val="1"/>
          <w:color w:val="auto"/>
        </w:rPr>
      </w:pPr>
    </w:p>
    <w:p>
      <w:pPr>
        <w:ind w:left="-656" w:firstLine="1304"/>
        <w:spacing w:after="0" w:line="276" w:lineRule="auto"/>
        <w:tabs>
          <w:tab w:leader="none" w:pos="1282" w:val="left"/>
        </w:tabs>
        <w:numPr>
          <w:ilvl w:val="1"/>
          <w:numId w:val="60"/>
        </w:numPr>
        <w:rPr>
          <w:rFonts w:ascii="Arial" w:cs="Arial" w:eastAsia="Arial" w:hAnsi="Arial"/>
          <w:sz w:val="22"/>
          <w:szCs w:val="22"/>
          <w:b w:val="1"/>
          <w:bCs w:val="1"/>
          <w:color w:val="auto"/>
        </w:rPr>
      </w:pPr>
      <w:r>
        <w:rPr>
          <w:rFonts w:ascii="Arial" w:cs="Arial" w:eastAsia="Arial" w:hAnsi="Arial"/>
          <w:sz w:val="22"/>
          <w:szCs w:val="22"/>
          <w:color w:val="auto"/>
        </w:rPr>
        <w:t>No Participant’s existing rights in respect of a current Offering Period or Bonus Offering Period may be adversely affected by an action taken per Section 16(a) above,</w:t>
      </w:r>
    </w:p>
    <w:p>
      <w:pPr>
        <w:sectPr>
          <w:pgSz w:w="11900" w:h="16838" w:orient="portrait"/>
          <w:cols w:equalWidth="0" w:num="1">
            <w:col w:w="10584"/>
          </w:cols>
          <w:pgMar w:left="976" w:top="1440" w:right="339" w:bottom="1440" w:gutter="0" w:footer="0" w:header="0"/>
        </w:sectPr>
      </w:pPr>
    </w:p>
    <w:bookmarkStart w:id="100" w:name="page101"/>
    <w:bookmarkEnd w:id="100"/>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and, upon any such amendment or modification, all Participants shall continue to have the same rights and privileges in respect of a current Offering Period and a current Bonus Offering Period.</w:t>
      </w:r>
    </w:p>
    <w:p>
      <w:pPr>
        <w:spacing w:after="0" w:line="121" w:lineRule="exact"/>
        <w:rPr>
          <w:sz w:val="20"/>
          <w:szCs w:val="20"/>
          <w:color w:val="auto"/>
        </w:rPr>
      </w:pPr>
    </w:p>
    <w:p>
      <w:pPr>
        <w:jc w:val="both"/>
        <w:ind w:firstLine="1304"/>
        <w:spacing w:after="0" w:line="293" w:lineRule="auto"/>
        <w:tabs>
          <w:tab w:leader="none" w:pos="1941" w:val="left"/>
        </w:tabs>
        <w:numPr>
          <w:ilvl w:val="2"/>
          <w:numId w:val="61"/>
        </w:numPr>
        <w:rPr>
          <w:rFonts w:ascii="Arial" w:cs="Arial" w:eastAsia="Arial" w:hAnsi="Arial"/>
          <w:sz w:val="19"/>
          <w:szCs w:val="19"/>
          <w:b w:val="1"/>
          <w:bCs w:val="1"/>
          <w:color w:val="auto"/>
        </w:rPr>
      </w:pPr>
      <w:r>
        <w:rPr>
          <w:rFonts w:ascii="Arial" w:cs="Arial" w:eastAsia="Arial" w:hAnsi="Arial"/>
          <w:sz w:val="19"/>
          <w:szCs w:val="19"/>
          <w:color w:val="auto"/>
        </w:rPr>
        <w:t>Without shareholder consent and without regard to whether any Participant rights may be considered to have been “adversely affected”: (i) the Committee shall be entitled to change the Offering Periods or Bonus Offering Periods, alter the frequency and/or number of changes in the amount withheld during an Offering Period or Bonus Offering Period; and</w:t>
      </w:r>
    </w:p>
    <w:p>
      <w:pPr>
        <w:jc w:val="both"/>
        <w:ind w:firstLine="8"/>
        <w:spacing w:after="0" w:line="258" w:lineRule="auto"/>
        <w:tabs>
          <w:tab w:leader="none" w:pos="327"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Internal Committee shall be entitled to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Shares for each Participant properly correspond with amounts withheld from each such Participant’s compensation, and establish such other limitations or procedures as the Internal Committee determines in its sole discretion advisable which are consistent with the Plan. Notwithstanding the forgoing, changes to (x) the Offering Period or Bonus Offering Period, or (y) the maximum amount of Base Salary or Annual Incentive Bonus that may be deducted pursuant to Section 5(a) or 5(b) shall not be effective until communicated to Participants in a reasonable manner, with the determination of such reasonable manner in the discretion of the Internal Committee.</w:t>
      </w:r>
    </w:p>
    <w:p>
      <w:pPr>
        <w:spacing w:after="0" w:line="137" w:lineRule="exact"/>
        <w:rPr>
          <w:rFonts w:ascii="Arial" w:cs="Arial" w:eastAsia="Arial" w:hAnsi="Arial"/>
          <w:sz w:val="21"/>
          <w:szCs w:val="21"/>
          <w:color w:val="auto"/>
        </w:rPr>
      </w:pPr>
    </w:p>
    <w:p>
      <w:pPr>
        <w:ind w:firstLine="656"/>
        <w:spacing w:after="0" w:line="269" w:lineRule="auto"/>
        <w:tabs>
          <w:tab w:leader="none" w:pos="1296" w:val="left"/>
        </w:tabs>
        <w:numPr>
          <w:ilvl w:val="1"/>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Other Obligations</w:t>
      </w:r>
      <w:r>
        <w:rPr>
          <w:rFonts w:ascii="Arial" w:cs="Arial" w:eastAsia="Arial" w:hAnsi="Arial"/>
          <w:sz w:val="22"/>
          <w:szCs w:val="22"/>
          <w:color w:val="auto"/>
        </w:rPr>
        <w:t>. Participation in the Plan does not constitute an agreement or an understanding, express or</w:t>
      </w:r>
      <w:r>
        <w:rPr>
          <w:rFonts w:ascii="Arial" w:cs="Arial" w:eastAsia="Arial" w:hAnsi="Arial"/>
          <w:sz w:val="22"/>
          <w:szCs w:val="22"/>
          <w:b w:val="1"/>
          <w:bCs w:val="1"/>
          <w:color w:val="auto"/>
        </w:rPr>
        <w:t xml:space="preserve"> </w:t>
      </w:r>
      <w:r>
        <w:rPr>
          <w:rFonts w:ascii="Arial" w:cs="Arial" w:eastAsia="Arial" w:hAnsi="Arial"/>
          <w:sz w:val="22"/>
          <w:szCs w:val="22"/>
          <w:color w:val="auto"/>
        </w:rPr>
        <w:t>implied, on the part of the Company to employ the Participant for any specified period.</w:t>
      </w:r>
    </w:p>
    <w:p>
      <w:pPr>
        <w:spacing w:after="0" w:line="107" w:lineRule="exact"/>
        <w:rPr>
          <w:rFonts w:ascii="Arial" w:cs="Arial" w:eastAsia="Arial" w:hAnsi="Arial"/>
          <w:sz w:val="22"/>
          <w:szCs w:val="22"/>
          <w:b w:val="1"/>
          <w:bCs w:val="1"/>
          <w:color w:val="auto"/>
        </w:rPr>
      </w:pPr>
    </w:p>
    <w:p>
      <w:pPr>
        <w:jc w:val="both"/>
        <w:ind w:firstLine="656"/>
        <w:spacing w:after="0" w:line="256" w:lineRule="auto"/>
        <w:tabs>
          <w:tab w:leader="none" w:pos="1296" w:val="left"/>
        </w:tabs>
        <w:numPr>
          <w:ilvl w:val="1"/>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Any notice which the Company or any Participant may be required or permitted to give to the other shall</w:t>
      </w:r>
      <w:r>
        <w:rPr>
          <w:rFonts w:ascii="Arial" w:cs="Arial" w:eastAsia="Arial" w:hAnsi="Arial"/>
          <w:sz w:val="22"/>
          <w:szCs w:val="22"/>
          <w:b w:val="1"/>
          <w:bCs w:val="1"/>
          <w:color w:val="auto"/>
        </w:rPr>
        <w:t xml:space="preserve"> </w:t>
      </w:r>
      <w:r>
        <w:rPr>
          <w:rFonts w:ascii="Arial" w:cs="Arial" w:eastAsia="Arial" w:hAnsi="Arial"/>
          <w:sz w:val="22"/>
          <w:szCs w:val="22"/>
          <w:color w:val="auto"/>
        </w:rPr>
        <w:t>be in writing and may be delivered personally or by mail, postage prepaid, addressed: if to the Company, to such address as the Internal Committee, by notice to such Participant, may designate in writing from time to time; and, if to the Participant, at his or her address as shown on the payroll records of the Company.</w:t>
      </w:r>
    </w:p>
    <w:p>
      <w:pPr>
        <w:spacing w:after="0" w:line="122" w:lineRule="exact"/>
        <w:rPr>
          <w:rFonts w:ascii="Arial" w:cs="Arial" w:eastAsia="Arial" w:hAnsi="Arial"/>
          <w:sz w:val="22"/>
          <w:szCs w:val="22"/>
          <w:b w:val="1"/>
          <w:bCs w:val="1"/>
          <w:color w:val="auto"/>
        </w:rPr>
      </w:pPr>
    </w:p>
    <w:p>
      <w:pPr>
        <w:ind w:left="1300" w:hanging="644"/>
        <w:spacing w:after="0"/>
        <w:tabs>
          <w:tab w:leader="none" w:pos="1300" w:val="left"/>
        </w:tabs>
        <w:numPr>
          <w:ilvl w:val="1"/>
          <w:numId w:val="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Conditions Upon Issuance of Shares</w:t>
      </w:r>
      <w:r>
        <w:rPr>
          <w:rFonts w:ascii="Arial" w:cs="Arial" w:eastAsia="Arial" w:hAnsi="Arial"/>
          <w:sz w:val="22"/>
          <w:szCs w:val="22"/>
          <w:color w:val="auto"/>
        </w:rPr>
        <w:t>.</w:t>
      </w:r>
    </w:p>
    <w:p>
      <w:pPr>
        <w:spacing w:after="0" w:line="171" w:lineRule="exact"/>
        <w:rPr>
          <w:rFonts w:ascii="Arial" w:cs="Arial" w:eastAsia="Arial" w:hAnsi="Arial"/>
          <w:sz w:val="22"/>
          <w:szCs w:val="22"/>
          <w:b w:val="1"/>
          <w:bCs w:val="1"/>
          <w:color w:val="auto"/>
        </w:rPr>
      </w:pPr>
    </w:p>
    <w:p>
      <w:pPr>
        <w:jc w:val="both"/>
        <w:ind w:firstLine="1304"/>
        <w:spacing w:after="0" w:line="251" w:lineRule="auto"/>
        <w:tabs>
          <w:tab w:leader="none" w:pos="1939" w:val="left"/>
        </w:tabs>
        <w:numPr>
          <w:ilvl w:val="2"/>
          <w:numId w:val="62"/>
        </w:numPr>
        <w:rPr>
          <w:rFonts w:ascii="Arial" w:cs="Arial" w:eastAsia="Arial" w:hAnsi="Arial"/>
          <w:sz w:val="22"/>
          <w:szCs w:val="22"/>
          <w:b w:val="1"/>
          <w:bCs w:val="1"/>
          <w:color w:val="auto"/>
        </w:rPr>
      </w:pPr>
      <w:r>
        <w:rPr>
          <w:rFonts w:ascii="Arial" w:cs="Arial" w:eastAsia="Arial" w:hAnsi="Arial"/>
          <w:sz w:val="22"/>
          <w:szCs w:val="22"/>
          <w:color w:val="auto"/>
        </w:rPr>
        <w:t>Shares shall not be placed in a Brokerage Account unless the purchase of such Shares and the issuance and delivery of such Shares pursuant thereto shall comply with all applicable provisions of law, domestic or foreign, including, without limitation, the 1933 Act, the 1934 Act and the rules and regulations promulgated under such Acts, and the requirements of any stock exchange upon which the Shares may then be listed, and shall be further subject to the approval of counsel for the Company with respect to such compliance.</w:t>
      </w:r>
    </w:p>
    <w:p>
      <w:pPr>
        <w:spacing w:after="0" w:line="135" w:lineRule="exact"/>
        <w:rPr>
          <w:rFonts w:ascii="Arial" w:cs="Arial" w:eastAsia="Arial" w:hAnsi="Arial"/>
          <w:sz w:val="22"/>
          <w:szCs w:val="22"/>
          <w:b w:val="1"/>
          <w:bCs w:val="1"/>
          <w:color w:val="auto"/>
        </w:rPr>
      </w:pPr>
    </w:p>
    <w:p>
      <w:pPr>
        <w:jc w:val="both"/>
        <w:ind w:firstLine="1304"/>
        <w:spacing w:after="0" w:line="250" w:lineRule="auto"/>
        <w:tabs>
          <w:tab w:leader="none" w:pos="1938" w:val="left"/>
        </w:tabs>
        <w:numPr>
          <w:ilvl w:val="2"/>
          <w:numId w:val="62"/>
        </w:numPr>
        <w:rPr>
          <w:rFonts w:ascii="Arial" w:cs="Arial" w:eastAsia="Arial" w:hAnsi="Arial"/>
          <w:sz w:val="22"/>
          <w:szCs w:val="22"/>
          <w:b w:val="1"/>
          <w:bCs w:val="1"/>
          <w:color w:val="auto"/>
        </w:rPr>
      </w:pPr>
      <w:r>
        <w:rPr>
          <w:rFonts w:ascii="Arial" w:cs="Arial" w:eastAsia="Arial" w:hAnsi="Arial"/>
          <w:sz w:val="22"/>
          <w:szCs w:val="22"/>
          <w:color w:val="auto"/>
        </w:rPr>
        <w:t>As a condition to receive Shares, the Internal Committee may require the person receiving such Shares to represent and warrant at the time of any such receipt that the Shares are being acquired only for investment and without any present intention to sell or distribute such Shares if, in the opinion of counsel for the Company, such a representation is required by any of the aforementioned applicable provisions of law.</w:t>
      </w:r>
    </w:p>
    <w:p>
      <w:pPr>
        <w:spacing w:after="0" w:line="147" w:lineRule="exact"/>
        <w:rPr>
          <w:rFonts w:ascii="Arial" w:cs="Arial" w:eastAsia="Arial" w:hAnsi="Arial"/>
          <w:sz w:val="22"/>
          <w:szCs w:val="22"/>
          <w:b w:val="1"/>
          <w:bCs w:val="1"/>
          <w:color w:val="auto"/>
        </w:rPr>
      </w:pPr>
    </w:p>
    <w:p>
      <w:pPr>
        <w:ind w:firstLine="1304"/>
        <w:spacing w:after="0" w:line="263" w:lineRule="auto"/>
        <w:tabs>
          <w:tab w:leader="none" w:pos="1941" w:val="left"/>
        </w:tabs>
        <w:numPr>
          <w:ilvl w:val="2"/>
          <w:numId w:val="62"/>
        </w:numPr>
        <w:rPr>
          <w:rFonts w:ascii="Arial" w:cs="Arial" w:eastAsia="Arial" w:hAnsi="Arial"/>
          <w:sz w:val="22"/>
          <w:szCs w:val="22"/>
          <w:b w:val="1"/>
          <w:bCs w:val="1"/>
          <w:color w:val="auto"/>
        </w:rPr>
      </w:pPr>
      <w:r>
        <w:rPr>
          <w:rFonts w:ascii="Arial" w:cs="Arial" w:eastAsia="Arial" w:hAnsi="Arial"/>
          <w:sz w:val="22"/>
          <w:szCs w:val="22"/>
          <w:color w:val="auto"/>
        </w:rPr>
        <w:t>With respect to Employees who are citizens or residents of a foreign jurisdiction (“</w:t>
      </w:r>
      <w:r>
        <w:rPr>
          <w:rFonts w:ascii="Arial" w:cs="Arial" w:eastAsia="Arial" w:hAnsi="Arial"/>
          <w:sz w:val="22"/>
          <w:szCs w:val="22"/>
          <w:u w:val="single" w:color="auto"/>
          <w:color w:val="auto"/>
        </w:rPr>
        <w:t>International</w:t>
      </w:r>
      <w:r>
        <w:rPr>
          <w:rFonts w:ascii="Arial" w:cs="Arial" w:eastAsia="Arial" w:hAnsi="Arial"/>
          <w:sz w:val="22"/>
          <w:szCs w:val="22"/>
          <w:color w:val="auto"/>
        </w:rPr>
        <w:t xml:space="preserve"> </w:t>
      </w:r>
      <w:r>
        <w:rPr>
          <w:rFonts w:ascii="Arial" w:cs="Arial" w:eastAsia="Arial" w:hAnsi="Arial"/>
          <w:sz w:val="22"/>
          <w:szCs w:val="22"/>
          <w:u w:val="single" w:color="auto"/>
          <w:color w:val="auto"/>
        </w:rPr>
        <w:t>Employees</w:t>
      </w:r>
      <w:r>
        <w:rPr>
          <w:rFonts w:ascii="Arial" w:cs="Arial" w:eastAsia="Arial" w:hAnsi="Arial"/>
          <w:sz w:val="22"/>
          <w:szCs w:val="22"/>
          <w:color w:val="auto"/>
        </w:rPr>
        <w:t>”), the Internal Committee may amend the terms of the</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Plan for such Participants in order to conform such terms with the provisions of local law, and the Internal Committee may, where appropriate, establish one or more sub-plans to reflect such amended or varied provisions, not otherwise inconsistent with the purposes of the Plan (each a “</w:t>
      </w:r>
      <w:r>
        <w:rPr>
          <w:rFonts w:ascii="Arial" w:cs="Arial" w:eastAsia="Arial" w:hAnsi="Arial"/>
          <w:sz w:val="22"/>
          <w:szCs w:val="22"/>
          <w:u w:val="single" w:color="auto"/>
          <w:color w:val="auto"/>
        </w:rPr>
        <w:t>Sub-Plan</w:t>
      </w:r>
      <w:r>
        <w:rPr>
          <w:rFonts w:ascii="Arial" w:cs="Arial" w:eastAsia="Arial" w:hAnsi="Arial"/>
          <w:sz w:val="22"/>
          <w:szCs w:val="22"/>
          <w:color w:val="auto"/>
        </w:rPr>
        <w:t>”).</w:t>
      </w:r>
    </w:p>
    <w:p>
      <w:pPr>
        <w:spacing w:after="0" w:line="139" w:lineRule="exact"/>
        <w:rPr>
          <w:sz w:val="20"/>
          <w:szCs w:val="20"/>
          <w:color w:val="auto"/>
        </w:rPr>
      </w:pPr>
    </w:p>
    <w:p>
      <w:pPr>
        <w:ind w:right="20" w:firstLine="656"/>
        <w:spacing w:after="0" w:line="349" w:lineRule="auto"/>
        <w:tabs>
          <w:tab w:leader="none" w:pos="1296"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General Compliance.</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will be administered in compliance with the 1933 Act, 1934 Act and all other</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securities laws and Company policies, including without limitation, the Company’s Insider Trading Policy.</w:t>
      </w:r>
    </w:p>
    <w:p>
      <w:pPr>
        <w:spacing w:after="0" w:line="39" w:lineRule="exact"/>
        <w:rPr>
          <w:rFonts w:ascii="Arial" w:cs="Arial" w:eastAsia="Arial" w:hAnsi="Arial"/>
          <w:sz w:val="19"/>
          <w:szCs w:val="19"/>
          <w:b w:val="1"/>
          <w:bCs w:val="1"/>
          <w:color w:val="auto"/>
        </w:rPr>
      </w:pPr>
    </w:p>
    <w:p>
      <w:pPr>
        <w:ind w:left="1300" w:hanging="644"/>
        <w:spacing w:after="0"/>
        <w:tabs>
          <w:tab w:leader="none" w:pos="1300"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 of the Plan</w:t>
      </w:r>
      <w:r>
        <w:rPr>
          <w:rFonts w:ascii="Arial" w:cs="Arial" w:eastAsia="Arial" w:hAnsi="Arial"/>
          <w:sz w:val="19"/>
          <w:szCs w:val="19"/>
          <w:color w:val="auto"/>
        </w:rPr>
        <w:t>. The Plan shall continue in effect for a period of ten (10) years, unless sooner terminated under</w:t>
      </w:r>
    </w:p>
    <w:p>
      <w:pPr>
        <w:spacing w:after="0" w:line="6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Section 16.</w:t>
      </w:r>
    </w:p>
    <w:p>
      <w:pPr>
        <w:spacing w:after="0" w:line="141" w:lineRule="exact"/>
        <w:rPr>
          <w:rFonts w:ascii="Arial" w:cs="Arial" w:eastAsia="Arial" w:hAnsi="Arial"/>
          <w:sz w:val="19"/>
          <w:szCs w:val="19"/>
          <w:b w:val="1"/>
          <w:bCs w:val="1"/>
          <w:color w:val="auto"/>
        </w:rPr>
      </w:pPr>
    </w:p>
    <w:p>
      <w:pPr>
        <w:ind w:firstLine="656"/>
        <w:spacing w:after="0" w:line="282" w:lineRule="auto"/>
        <w:tabs>
          <w:tab w:leader="none" w:pos="1296"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The Plan and all rights granted hereunder shall be construed in accordance with and governed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laws of the State of Illinois without reference to choice of law principles.</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4"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SCHEDULE A</w:t>
      </w:r>
    </w:p>
    <w:p>
      <w:pPr>
        <w:spacing w:after="0" w:line="166"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u w:val="single" w:color="auto"/>
          <w:color w:val="auto"/>
        </w:rPr>
        <w:t>Subsidiaries Participating in the Plan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Huron Consulting Services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Huron Advisors Canada Limited / Conseillers Huron Canada Limitée,</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and, of the below-listed companies, each effective as of the applicable acquisition date:</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Innosight Consulting, LLC</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Huron Managed Services LLC</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Huron Consulting Services U.K. Limited</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Huron Eurasia India Private Limited</w:t>
      </w:r>
    </w:p>
    <w:p>
      <w:pPr>
        <w:sectPr>
          <w:pgSz w:w="11900" w:h="16838" w:orient="portrait"/>
          <w:cols w:equalWidth="0" w:num="1">
            <w:col w:w="9479"/>
          </w:cols>
          <w:pgMar w:left="980" w:top="1440"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LIST OF SUBSIDIARIES OF HURON CONSULTING GROUP INC.</w:t>
      </w:r>
    </w:p>
    <w:p>
      <w:pPr>
        <w:spacing w:after="0" w:line="3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(as of December 31, 2022)</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Name</w:t>
            </w:r>
          </w:p>
        </w:tc>
        <w:tc>
          <w:tcPr>
            <w:tcW w:w="480" w:type="dxa"/>
            <w:vAlign w:val="bottom"/>
          </w:tcPr>
          <w:p>
            <w:pPr>
              <w:spacing w:after="0"/>
              <w:rPr>
                <w:sz w:val="20"/>
                <w:szCs w:val="20"/>
                <w:color w:val="auto"/>
              </w:rPr>
            </w:pP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Jurisdiction of Organization</w:t>
            </w:r>
          </w:p>
        </w:tc>
      </w:tr>
      <w:tr>
        <w:trPr>
          <w:trHeight w:val="223"/>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Huron Consulting Group Holdings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Huron Consulting Services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rPr>
              <w:t>Huron Consulting Saudi Limited</w:t>
            </w:r>
          </w:p>
        </w:tc>
        <w:tc>
          <w:tcPr>
            <w:tcW w:w="4520" w:type="dxa"/>
            <w:vAlign w:val="bottom"/>
          </w:tcPr>
          <w:p>
            <w:pPr>
              <w:jc w:val="center"/>
              <w:spacing w:after="0"/>
              <w:rPr>
                <w:sz w:val="20"/>
                <w:szCs w:val="20"/>
                <w:color w:val="auto"/>
              </w:rPr>
            </w:pPr>
            <w:r>
              <w:rPr>
                <w:rFonts w:ascii="Arial" w:cs="Arial" w:eastAsia="Arial" w:hAnsi="Arial"/>
                <w:sz w:val="18"/>
                <w:szCs w:val="18"/>
                <w:color w:val="auto"/>
                <w:w w:val="98"/>
              </w:rPr>
              <w:t>Saudi Arabia</w:t>
            </w:r>
          </w:p>
        </w:tc>
      </w:tr>
      <w:tr>
        <w:trPr>
          <w:trHeight w:val="229"/>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Huron Saudi Limited</w:t>
            </w:r>
          </w:p>
        </w:tc>
        <w:tc>
          <w:tcPr>
            <w:tcW w:w="4520" w:type="dxa"/>
            <w:vAlign w:val="bottom"/>
          </w:tcPr>
          <w:p>
            <w:pPr>
              <w:jc w:val="center"/>
              <w:spacing w:after="0"/>
              <w:rPr>
                <w:sz w:val="20"/>
                <w:szCs w:val="20"/>
                <w:color w:val="auto"/>
              </w:rPr>
            </w:pPr>
            <w:r>
              <w:rPr>
                <w:rFonts w:ascii="Arial" w:cs="Arial" w:eastAsia="Arial" w:hAnsi="Arial"/>
                <w:sz w:val="18"/>
                <w:szCs w:val="18"/>
                <w:color w:val="auto"/>
                <w:w w:val="98"/>
              </w:rPr>
              <w:t>Saudi Arabia</w:t>
            </w:r>
          </w:p>
        </w:tc>
      </w:tr>
      <w:tr>
        <w:trPr>
          <w:trHeight w:val="230"/>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Huron Advisors Canada Limited</w:t>
            </w:r>
          </w:p>
        </w:tc>
        <w:tc>
          <w:tcPr>
            <w:tcW w:w="4520" w:type="dxa"/>
            <w:vAlign w:val="bottom"/>
          </w:tcPr>
          <w:p>
            <w:pPr>
              <w:jc w:val="center"/>
              <w:spacing w:after="0"/>
              <w:rPr>
                <w:sz w:val="20"/>
                <w:szCs w:val="20"/>
                <w:color w:val="auto"/>
              </w:rPr>
            </w:pPr>
            <w:r>
              <w:rPr>
                <w:rFonts w:ascii="Arial" w:cs="Arial" w:eastAsia="Arial" w:hAnsi="Arial"/>
                <w:sz w:val="18"/>
                <w:szCs w:val="18"/>
                <w:color w:val="auto"/>
                <w:w w:val="98"/>
              </w:rPr>
              <w:t>Canada</w:t>
            </w:r>
          </w:p>
        </w:tc>
      </w:tr>
      <w:tr>
        <w:trPr>
          <w:trHeight w:val="229"/>
        </w:trPr>
        <w:tc>
          <w:tcPr>
            <w:tcW w:w="49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Huron Public Finance Advisory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49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Huron Transaction Advisory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Huron Eurasia India Private Limited</w:t>
            </w:r>
          </w:p>
        </w:tc>
        <w:tc>
          <w:tcPr>
            <w:tcW w:w="452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29"/>
        </w:trPr>
        <w:tc>
          <w:tcPr>
            <w:tcW w:w="49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Huron Consulting Services U.K. Limited</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England</w:t>
            </w:r>
          </w:p>
        </w:tc>
      </w:tr>
      <w:tr>
        <w:trPr>
          <w:trHeight w:val="230"/>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Innosight Holdings,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49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Innosight International,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Innosight Consulting Asia Pacific PTE. LTD.</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Singapore</w:t>
            </w:r>
          </w:p>
        </w:tc>
      </w:tr>
      <w:tr>
        <w:trPr>
          <w:trHeight w:val="230"/>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Innosight Consulting SARL</w:t>
            </w:r>
          </w:p>
        </w:tc>
        <w:tc>
          <w:tcPr>
            <w:tcW w:w="4520" w:type="dxa"/>
            <w:vAlign w:val="bottom"/>
          </w:tcPr>
          <w:p>
            <w:pPr>
              <w:jc w:val="center"/>
              <w:spacing w:after="0"/>
              <w:rPr>
                <w:sz w:val="20"/>
                <w:szCs w:val="20"/>
                <w:color w:val="auto"/>
              </w:rPr>
            </w:pPr>
            <w:r>
              <w:rPr>
                <w:rFonts w:ascii="Arial" w:cs="Arial" w:eastAsia="Arial" w:hAnsi="Arial"/>
                <w:sz w:val="18"/>
                <w:szCs w:val="18"/>
                <w:color w:val="auto"/>
              </w:rPr>
              <w:t>Switzerland</w:t>
            </w:r>
          </w:p>
        </w:tc>
      </w:tr>
      <w:tr>
        <w:trPr>
          <w:trHeight w:val="229"/>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Innosight Consulting,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Huron Aviation One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Huron Aviation Two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rPr>
              <w:t>Huron Managed Services LLC</w:t>
            </w:r>
          </w:p>
        </w:tc>
        <w:tc>
          <w:tcPr>
            <w:tcW w:w="45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49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Whiteboard Communications LTD.</w:t>
            </w:r>
          </w:p>
        </w:tc>
        <w:tc>
          <w:tcPr>
            <w:tcW w:w="4520" w:type="dxa"/>
            <w:vAlign w:val="bottom"/>
          </w:tcPr>
          <w:p>
            <w:pPr>
              <w:jc w:val="center"/>
              <w:spacing w:after="0"/>
              <w:rPr>
                <w:sz w:val="20"/>
                <w:szCs w:val="20"/>
                <w:color w:val="auto"/>
              </w:rPr>
            </w:pPr>
            <w:r>
              <w:rPr>
                <w:rFonts w:ascii="Arial" w:cs="Arial" w:eastAsia="Arial" w:hAnsi="Arial"/>
                <w:sz w:val="18"/>
                <w:szCs w:val="18"/>
                <w:color w:val="auto"/>
                <w:w w:val="98"/>
              </w:rPr>
              <w:t>Pennsylvania</w:t>
            </w:r>
          </w:p>
        </w:tc>
      </w:tr>
    </w:tbl>
    <w:p>
      <w:pPr>
        <w:sectPr>
          <w:pgSz w:w="11900" w:h="16838" w:orient="portrait"/>
          <w:cols w:equalWidth="0" w:num="1">
            <w:col w:w="10360"/>
          </w:cols>
          <w:pgMar w:left="1200" w:top="886"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19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333-204353, 333-218108, 333-231566, 333-238605, 333-238606, and 333-256384) of Huron Consulting Group Inc. of our report dated February 28, 2023 relating to the financial statements and the effectiveness of internal control over financial reporting, which appears in this Form 10-K.</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11240"/>
          </w:cols>
          <w:pgMar w:left="320" w:top="886"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340" w:right="2540"/>
        <w:spacing w:after="0" w:line="268"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C. Mark Hussey, certify that:</w:t>
      </w:r>
    </w:p>
    <w:p>
      <w:pPr>
        <w:spacing w:after="0" w:line="63"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Huron Consulting Group Inc.;</w:t>
      </w:r>
    </w:p>
    <w:p>
      <w:pPr>
        <w:spacing w:after="0" w:line="63" w:lineRule="exact"/>
        <w:rPr>
          <w:rFonts w:ascii="Arial" w:cs="Arial" w:eastAsia="Arial" w:hAnsi="Arial"/>
          <w:sz w:val="18"/>
          <w:szCs w:val="18"/>
          <w:color w:val="auto"/>
        </w:rPr>
      </w:pPr>
    </w:p>
    <w:p>
      <w:pPr>
        <w:ind w:left="340" w:right="60" w:hanging="332"/>
        <w:spacing w:after="0" w:line="256" w:lineRule="auto"/>
        <w:tabs>
          <w:tab w:leader="none" w:pos="3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8"/>
          <w:szCs w:val="18"/>
          <w:color w:val="auto"/>
        </w:rPr>
      </w:pPr>
    </w:p>
    <w:p>
      <w:pPr>
        <w:ind w:left="340" w:right="160" w:hanging="332"/>
        <w:spacing w:after="0" w:line="291" w:lineRule="auto"/>
        <w:tabs>
          <w:tab w:leader="none" w:pos="3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140" w:hanging="332"/>
        <w:spacing w:after="0" w:line="265" w:lineRule="auto"/>
        <w:tabs>
          <w:tab w:leader="none" w:pos="3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ind w:left="660" w:right="60" w:hanging="328"/>
        <w:spacing w:after="0" w:line="256" w:lineRule="auto"/>
        <w:tabs>
          <w:tab w:leader="none" w:pos="685"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660" w:right="100" w:hanging="328"/>
        <w:spacing w:after="0" w:line="256" w:lineRule="auto"/>
        <w:tabs>
          <w:tab w:leader="none" w:pos="685"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660" w:right="60" w:hanging="328"/>
        <w:spacing w:after="0" w:line="256" w:lineRule="auto"/>
        <w:tabs>
          <w:tab w:leader="none" w:pos="675"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660" w:right="360" w:hanging="328"/>
        <w:spacing w:after="0" w:line="256" w:lineRule="auto"/>
        <w:tabs>
          <w:tab w:leader="none" w:pos="685"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8"/>
          <w:szCs w:val="18"/>
          <w:color w:val="auto"/>
        </w:rPr>
      </w:pPr>
    </w:p>
    <w:p>
      <w:pPr>
        <w:ind w:left="340" w:right="100" w:hanging="332"/>
        <w:spacing w:after="0" w:line="256" w:lineRule="auto"/>
        <w:tabs>
          <w:tab w:leader="none" w:pos="3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ind w:left="660" w:right="240" w:hanging="328"/>
        <w:spacing w:after="0" w:line="261" w:lineRule="auto"/>
        <w:tabs>
          <w:tab w:leader="none" w:pos="685"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480" w:hanging="328"/>
        <w:spacing w:after="0" w:line="261" w:lineRule="auto"/>
        <w:tabs>
          <w:tab w:leader="none" w:pos="685"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February 28, 2023</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C. MARK HUSSEY</w:t>
            </w:r>
          </w:p>
        </w:tc>
      </w:tr>
      <w:tr>
        <w:trPr>
          <w:trHeight w:val="223"/>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 Mark Hussey</w:t>
            </w:r>
          </w:p>
        </w:tc>
      </w:tr>
      <w:tr>
        <w:trPr>
          <w:trHeight w:val="229"/>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President and Chief Executive Officer</w:t>
            </w:r>
          </w:p>
        </w:tc>
      </w:tr>
    </w:tbl>
    <w:p>
      <w:pPr>
        <w:sectPr>
          <w:pgSz w:w="11900" w:h="16838" w:orient="portrait"/>
          <w:cols w:equalWidth="0" w:num="1">
            <w:col w:w="11240"/>
          </w:cols>
          <w:pgMar w:left="320" w:top="886"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340" w:right="2540"/>
        <w:spacing w:after="0" w:line="268"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Huron Consulting Group Inc.;</w:t>
      </w:r>
    </w:p>
    <w:p>
      <w:pPr>
        <w:spacing w:after="0" w:line="63" w:lineRule="exact"/>
        <w:rPr>
          <w:rFonts w:ascii="Arial" w:cs="Arial" w:eastAsia="Arial" w:hAnsi="Arial"/>
          <w:sz w:val="18"/>
          <w:szCs w:val="18"/>
          <w:color w:val="auto"/>
        </w:rPr>
      </w:pPr>
    </w:p>
    <w:p>
      <w:pPr>
        <w:ind w:left="340" w:right="60" w:hanging="332"/>
        <w:spacing w:after="0" w:line="256" w:lineRule="auto"/>
        <w:tabs>
          <w:tab w:leader="none" w:pos="3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Arial" w:cs="Arial" w:eastAsia="Arial" w:hAnsi="Arial"/>
          <w:sz w:val="18"/>
          <w:szCs w:val="18"/>
          <w:color w:val="auto"/>
        </w:rPr>
      </w:pPr>
    </w:p>
    <w:p>
      <w:pPr>
        <w:ind w:left="340" w:right="160" w:hanging="332"/>
        <w:spacing w:after="0" w:line="291" w:lineRule="auto"/>
        <w:tabs>
          <w:tab w:leader="none" w:pos="355"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140" w:hanging="332"/>
        <w:spacing w:after="0" w:line="265" w:lineRule="auto"/>
        <w:tabs>
          <w:tab w:leader="none" w:pos="355"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ind w:left="660" w:right="60" w:hanging="328"/>
        <w:spacing w:after="0" w:line="256" w:lineRule="auto"/>
        <w:tabs>
          <w:tab w:leader="none" w:pos="685"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660" w:right="100" w:hanging="328"/>
        <w:spacing w:after="0" w:line="256" w:lineRule="auto"/>
        <w:tabs>
          <w:tab w:leader="none" w:pos="685"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660" w:right="60" w:hanging="328"/>
        <w:spacing w:after="0" w:line="256" w:lineRule="auto"/>
        <w:tabs>
          <w:tab w:leader="none" w:pos="675"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660" w:right="360" w:hanging="328"/>
        <w:spacing w:after="0" w:line="256" w:lineRule="auto"/>
        <w:tabs>
          <w:tab w:leader="none" w:pos="685"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8"/>
          <w:szCs w:val="18"/>
          <w:color w:val="auto"/>
        </w:rPr>
      </w:pPr>
    </w:p>
    <w:p>
      <w:pPr>
        <w:ind w:left="340" w:right="100" w:hanging="332"/>
        <w:spacing w:after="0" w:line="256" w:lineRule="auto"/>
        <w:tabs>
          <w:tab w:leader="none" w:pos="3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ind w:left="660" w:right="240" w:hanging="328"/>
        <w:spacing w:after="0" w:line="261" w:lineRule="auto"/>
        <w:tabs>
          <w:tab w:leader="none" w:pos="685"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480" w:hanging="328"/>
        <w:spacing w:after="0" w:line="261" w:lineRule="auto"/>
        <w:tabs>
          <w:tab w:leader="none" w:pos="685"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February 28, 2023</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JOHN D. KELLY</w:t>
            </w:r>
          </w:p>
        </w:tc>
      </w:tr>
      <w:tr>
        <w:trPr>
          <w:trHeight w:val="223"/>
        </w:trPr>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John D. Kelly</w:t>
            </w:r>
          </w:p>
        </w:tc>
      </w:tr>
      <w:tr>
        <w:trPr>
          <w:trHeight w:val="188"/>
        </w:trPr>
        <w:tc>
          <w:tcPr>
            <w:tcW w:w="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760" w:type="dxa"/>
            <w:vAlign w:val="bottom"/>
          </w:tcPr>
          <w:p>
            <w:pPr>
              <w:jc w:val="center"/>
              <w:spacing w:after="0" w:line="189" w:lineRule="exact"/>
              <w:rPr>
                <w:sz w:val="20"/>
                <w:szCs w:val="20"/>
                <w:color w:val="auto"/>
              </w:rPr>
            </w:pPr>
            <w:r>
              <w:rPr>
                <w:rFonts w:ascii="Arial" w:cs="Arial" w:eastAsia="Arial" w:hAnsi="Arial"/>
                <w:sz w:val="18"/>
                <w:szCs w:val="18"/>
                <w:color w:val="auto"/>
                <w:w w:val="98"/>
              </w:rPr>
              <w:t>Executive Vice President,</w:t>
            </w:r>
          </w:p>
        </w:tc>
      </w:tr>
      <w:tr>
        <w:trPr>
          <w:trHeight w:val="217"/>
        </w:trPr>
        <w:tc>
          <w:tcPr>
            <w:tcW w:w="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ectPr>
          <w:pgSz w:w="11900" w:h="16838" w:orient="portrait"/>
          <w:cols w:equalWidth="0" w:num="1">
            <w:col w:w="11240"/>
          </w:cols>
          <w:pgMar w:left="320" w:top="886"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340" w:right="2580"/>
        <w:spacing w:after="0" w:line="268"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39"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In connection with the Annual Report of Huron Consulting Group Inc. (the "Company") on Form 10-K for the year ended December 31, 2022 as filed with the Securities and Exchange Commission on the date hereof (the "Report"), I, C. Mark Hussey, President and Chief Executive Officer of the Company, hereby certify, pursuant to 18 U.S.C. Section 1350, as adopted pursuant to Section 906 of the Sarbanes-Oxley Act of 2002, that:</w:t>
      </w:r>
    </w:p>
    <w:p>
      <w:pPr>
        <w:spacing w:after="0" w:line="150" w:lineRule="exact"/>
        <w:rPr>
          <w:sz w:val="20"/>
          <w:szCs w:val="20"/>
          <w:color w:val="auto"/>
        </w:rPr>
      </w:pPr>
    </w:p>
    <w:p>
      <w:pPr>
        <w:ind w:left="840" w:hanging="346"/>
        <w:spacing w:after="0"/>
        <w:tabs>
          <w:tab w:leader="none" w:pos="8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61" w:lineRule="auto"/>
        <w:tabs>
          <w:tab w:leader="none" w:pos="8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9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February 28, 2023</w:t>
            </w:r>
          </w:p>
        </w:tc>
        <w:tc>
          <w:tcPr>
            <w:tcW w:w="4740" w:type="dxa"/>
            <w:vAlign w:val="bottom"/>
          </w:tcPr>
          <w:p>
            <w:pPr>
              <w:ind w:left="43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 MARK HUSSEY</w:t>
            </w:r>
          </w:p>
        </w:tc>
      </w:tr>
      <w:tr>
        <w:trPr>
          <w:trHeight w:val="223"/>
        </w:trPr>
        <w:tc>
          <w:tcPr>
            <w:tcW w:w="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C. Mark Hussey</w:t>
            </w:r>
          </w:p>
        </w:tc>
      </w:tr>
      <w:tr>
        <w:trPr>
          <w:trHeight w:val="230"/>
        </w:trPr>
        <w:tc>
          <w:tcPr>
            <w:tcW w:w="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9"/>
              </w:rPr>
              <w:t>President and Chief Executive Officer</w:t>
            </w:r>
          </w:p>
        </w:tc>
      </w:tr>
    </w:tbl>
    <w:p>
      <w:pPr>
        <w:spacing w:after="0" w:line="161"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50" w:lineRule="exact"/>
        <w:rPr>
          <w:sz w:val="20"/>
          <w:szCs w:val="20"/>
          <w:color w:val="auto"/>
        </w:rPr>
      </w:pPr>
    </w:p>
    <w:p>
      <w:pPr>
        <w:ind w:right="100" w:firstLine="486"/>
        <w:spacing w:after="0" w:line="261"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p>
      <w:pPr>
        <w:sectPr>
          <w:pgSz w:w="11900" w:h="16838" w:orient="portrait"/>
          <w:cols w:equalWidth="0" w:num="1">
            <w:col w:w="11240"/>
          </w:cols>
          <w:pgMar w:left="320" w:top="886"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340" w:right="2580"/>
        <w:spacing w:after="0" w:line="268"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connection with the Annual Report of Huron Consulting Group Inc. (the "Company") on Form 10-K for the year ended December 31,</w:t>
      </w:r>
    </w:p>
    <w:p>
      <w:pPr>
        <w:spacing w:after="0" w:line="9"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2022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148" w:lineRule="exact"/>
        <w:rPr>
          <w:sz w:val="20"/>
          <w:szCs w:val="20"/>
          <w:color w:val="auto"/>
        </w:rPr>
      </w:pPr>
    </w:p>
    <w:p>
      <w:pPr>
        <w:ind w:left="840" w:hanging="346"/>
        <w:spacing w:after="0"/>
        <w:tabs>
          <w:tab w:leader="none" w:pos="8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61" w:lineRule="auto"/>
        <w:tabs>
          <w:tab w:leader="none" w:pos="8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9"/>
              </w:rPr>
              <w:t>February 28, 2023</w:t>
            </w:r>
          </w:p>
        </w:tc>
        <w:tc>
          <w:tcPr>
            <w:tcW w:w="4740" w:type="dxa"/>
            <w:vAlign w:val="bottom"/>
          </w:tcPr>
          <w:p>
            <w:pPr>
              <w:ind w:left="4360"/>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JOHN D. KELLY</w:t>
            </w:r>
          </w:p>
        </w:tc>
      </w:tr>
      <w:tr>
        <w:trPr>
          <w:trHeight w:val="223"/>
        </w:trPr>
        <w:tc>
          <w:tcPr>
            <w:tcW w:w="7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John D. Kelly</w:t>
            </w:r>
          </w:p>
        </w:tc>
      </w:tr>
      <w:tr>
        <w:trPr>
          <w:trHeight w:val="188"/>
        </w:trPr>
        <w:tc>
          <w:tcPr>
            <w:tcW w:w="7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780" w:type="dxa"/>
            <w:vAlign w:val="bottom"/>
          </w:tcPr>
          <w:p>
            <w:pPr>
              <w:jc w:val="center"/>
              <w:spacing w:after="0" w:line="189" w:lineRule="exact"/>
              <w:rPr>
                <w:sz w:val="20"/>
                <w:szCs w:val="20"/>
                <w:color w:val="auto"/>
              </w:rPr>
            </w:pPr>
            <w:r>
              <w:rPr>
                <w:rFonts w:ascii="Arial" w:cs="Arial" w:eastAsia="Arial" w:hAnsi="Arial"/>
                <w:sz w:val="18"/>
                <w:szCs w:val="18"/>
                <w:color w:val="auto"/>
                <w:w w:val="99"/>
              </w:rPr>
              <w:t>Executive Vice President,</w:t>
            </w:r>
          </w:p>
        </w:tc>
      </w:tr>
      <w:tr>
        <w:trPr>
          <w:trHeight w:val="217"/>
        </w:trPr>
        <w:tc>
          <w:tcPr>
            <w:tcW w:w="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Chief Financial Officer and Treasurer</w:t>
            </w:r>
          </w:p>
        </w:tc>
      </w:tr>
    </w:tbl>
    <w:p>
      <w:pPr>
        <w:spacing w:after="0" w:line="175"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50" w:lineRule="exact"/>
        <w:rPr>
          <w:sz w:val="20"/>
          <w:szCs w:val="20"/>
          <w:color w:val="auto"/>
        </w:rPr>
      </w:pPr>
    </w:p>
    <w:p>
      <w:pPr>
        <w:ind w:right="100" w:firstLine="486"/>
        <w:spacing w:after="0" w:line="261"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1)"/>
      <w:numFmt w:val="decimal"/>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1)"/>
      <w:numFmt w:val="decimal"/>
      <w:start w:val="1"/>
    </w:lvl>
  </w:abstractNum>
  <w:abstractNum w:abstractNumId="17">
    <w:nsid w:val="6A2342EC"/>
    <w:multiLevelType w:val="hybridMultilevel"/>
    <w:lvl w:ilvl="0">
      <w:lvlJc w:val="left"/>
      <w:lvlText w:val="(%1)"/>
      <w:numFmt w:val="decimal"/>
      <w:start w:val="4"/>
    </w:lvl>
  </w:abstractNum>
  <w:abstractNum w:abstractNumId="18">
    <w:nsid w:val="2A487CB0"/>
    <w:multiLevelType w:val="hybridMultilevel"/>
    <w:lvl w:ilvl="0">
      <w:lvlJc w:val="left"/>
      <w:lvlText w:val="(%1)"/>
      <w:numFmt w:val="decimal"/>
      <w:start w:val="5"/>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1)"/>
      <w:numFmt w:val="lowerRoman"/>
      <w:start w:val="1"/>
    </w:lvl>
  </w:abstractNum>
  <w:abstractNum w:abstractNumId="26">
    <w:nsid w:val="6DE91B18"/>
    <w:multiLevelType w:val="hybridMultilevel"/>
    <w:lvl w:ilvl="0">
      <w:lvlJc w:val="left"/>
      <w:lvlText w:val="(%1)"/>
      <w:numFmt w:val="lowerRoman"/>
      <w:start w:val="1"/>
    </w:lvl>
  </w:abstractNum>
  <w:abstractNum w:abstractNumId="27">
    <w:nsid w:val="38437FDB"/>
    <w:multiLevelType w:val="hybridMultilevel"/>
    <w:lvl w:ilvl="0">
      <w:lvlJc w:val="left"/>
      <w:lvlText w:val="(%1)"/>
      <w:numFmt w:val="lowerRoman"/>
      <w:start w:val="2"/>
    </w:lvl>
  </w:abstractNum>
  <w:abstractNum w:abstractNumId="28">
    <w:nsid w:val="7644A45C"/>
    <w:multiLevelType w:val="hybridMultilevel"/>
    <w:lvl w:ilvl="0">
      <w:lvlJc w:val="left"/>
      <w:lvlText w:val="(%1)"/>
      <w:numFmt w:val="decimal"/>
      <w:start w:val="1"/>
    </w:lvl>
  </w:abstractNum>
  <w:abstractNum w:abstractNumId="29">
    <w:nsid w:val="32FFF902"/>
    <w:multiLevelType w:val="hybridMultilevel"/>
    <w:lvl w:ilvl="0">
      <w:lvlJc w:val="left"/>
      <w:lvlText w:val="%1."/>
      <w:numFmt w:val="decimal"/>
      <w:start w:val="1"/>
    </w:lvl>
  </w:abstractNum>
  <w:abstractNum w:abstractNumId="30">
    <w:nsid w:val="684A481A"/>
    <w:multiLevelType w:val="hybridMultilevel"/>
    <w:lvl w:ilvl="0">
      <w:lvlJc w:val="left"/>
      <w:lvlText w:val="%1."/>
      <w:numFmt w:val="decimal"/>
      <w:start w:val="2"/>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1)"/>
      <w:numFmt w:val="decimal"/>
      <w:start w:val="1"/>
    </w:lvl>
  </w:abstractNum>
  <w:abstractNum w:abstractNumId="35">
    <w:nsid w:val="79A1DEAA"/>
    <w:multiLevelType w:val="hybridMultilevel"/>
    <w:lvl w:ilvl="0">
      <w:lvlJc w:val="left"/>
      <w:lvlText w:val="(%1)"/>
      <w:numFmt w:val="decimal"/>
      <w:start w:val="1"/>
    </w:lvl>
  </w:abstractNum>
  <w:abstractNum w:abstractNumId="36">
    <w:nsid w:val="75C6C33A"/>
    <w:multiLevelType w:val="hybridMultilevel"/>
    <w:lvl w:ilvl="0">
      <w:lvlJc w:val="left"/>
      <w:lvlText w:val="(%1)"/>
      <w:numFmt w:val="decimal"/>
      <w:start w:val="3"/>
    </w:lvl>
  </w:abstractNum>
  <w:abstractNum w:abstractNumId="37">
    <w:nsid w:val="12E685FB"/>
    <w:multiLevelType w:val="hybridMultilevel"/>
    <w:lvl w:ilvl="0">
      <w:lvlJc w:val="left"/>
      <w:lvlText w:val="(%1)"/>
      <w:numFmt w:val="lowerRoman"/>
      <w:start w:val="1"/>
    </w:lvl>
  </w:abstractNum>
  <w:abstractNum w:abstractNumId="38">
    <w:nsid w:val="70C6A529"/>
    <w:multiLevelType w:val="hybridMultilevel"/>
    <w:lvl w:ilvl="0">
      <w:lvlJc w:val="left"/>
      <w:lvlText w:val="%1."/>
      <w:numFmt w:val="decimal"/>
      <w:start w:val="8"/>
    </w:lvl>
  </w:abstractNum>
  <w:abstractNum w:abstractNumId="39">
    <w:nsid w:val="520EEDD1"/>
    <w:multiLevelType w:val="hybridMultilevel"/>
    <w:lvl w:ilvl="0">
      <w:lvlJc w:val="left"/>
      <w:lvlText w:val="(%1)"/>
      <w:numFmt w:val="decimal"/>
      <w:start w:val="1"/>
    </w:lvl>
  </w:abstractNum>
  <w:abstractNum w:abstractNumId="40">
    <w:nsid w:val="374A3FE6"/>
    <w:multiLevelType w:val="hybridMultilevel"/>
    <w:lvl w:ilvl="0">
      <w:lvlJc w:val="left"/>
      <w:lvlText w:val="(%1)"/>
      <w:numFmt w:val="decimal"/>
      <w:start w:val="1"/>
    </w:lvl>
  </w:abstractNum>
  <w:abstractNum w:abstractNumId="41">
    <w:nsid w:val="4F4EF005"/>
    <w:multiLevelType w:val="hybridMultilevel"/>
    <w:lvl w:ilvl="0">
      <w:lvlJc w:val="left"/>
      <w:lvlText w:val="(%1)"/>
      <w:numFmt w:val="decimal"/>
      <w:start w:val="1"/>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18"/>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1)"/>
      <w:numFmt w:val="decimal"/>
      <w:start w:val="1"/>
    </w:lvl>
  </w:abstractNum>
  <w:abstractNum w:abstractNumId="47">
    <w:nsid w:val="180115BE"/>
    <w:multiLevelType w:val="hybridMultilevel"/>
    <w:lvl w:ilvl="0">
      <w:lvlJc w:val="left"/>
      <w:lvlText w:val="(%1)"/>
      <w:numFmt w:val="decimal"/>
      <w:start w:val="1"/>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1."/>
      <w:numFmt w:val="decimal"/>
      <w:start w:val="2"/>
    </w:lvl>
  </w:abstractNum>
  <w:abstractNum w:abstractNumId="50">
    <w:nsid w:val="354FE9F9"/>
    <w:multiLevelType w:val="hybridMultilevel"/>
    <w:lvl w:ilvl="0">
      <w:lvlJc w:val="left"/>
      <w:lvlText w:val="%1."/>
      <w:numFmt w:val="decimal"/>
      <w:start w:val="3"/>
    </w:lvl>
    <w:lvl w:ilvl="1">
      <w:lvlJc w:val="left"/>
      <w:lvlText w:val="(%2)"/>
      <w:numFmt w:val="lowerLetter"/>
      <w:start w:val="1"/>
    </w:lvl>
  </w:abstractNum>
  <w:abstractNum w:abstractNumId="51">
    <w:nsid w:val="15B5AF5C"/>
    <w:multiLevelType w:val="hybridMultilevel"/>
    <w:lvl w:ilvl="0">
      <w:lvlJc w:val="left"/>
      <w:lvlText w:val="%1"/>
      <w:numFmt w:val="decimal"/>
      <w:start w:val="1"/>
    </w:lvl>
    <w:lvl w:ilvl="1">
      <w:lvlJc w:val="left"/>
      <w:lvlText w:val="(%2)"/>
      <w:numFmt w:val="lowerLetter"/>
      <w:start w:val="3"/>
    </w:lvl>
  </w:abstractNum>
  <w:abstractNum w:abstractNumId="52">
    <w:nsid w:val="741226BB"/>
    <w:multiLevelType w:val="hybridMultilevel"/>
    <w:lvl w:ilvl="0">
      <w:lvlJc w:val="left"/>
      <w:lvlText w:val="%1."/>
      <w:numFmt w:val="decimal"/>
      <w:start w:val="6"/>
    </w:lvl>
    <w:lvl w:ilvl="1">
      <w:lvlJc w:val="left"/>
      <w:lvlText w:val="(%2)"/>
      <w:numFmt w:val="lowerLetter"/>
      <w:start w:val="1"/>
    </w:lvl>
  </w:abstractNum>
  <w:abstractNum w:abstractNumId="53">
    <w:nsid w:val="D34B6A8"/>
    <w:multiLevelType w:val="hybridMultilevel"/>
    <w:lvl w:ilvl="0">
      <w:lvlJc w:val="left"/>
      <w:lvlText w:val="%1"/>
      <w:numFmt w:val="decimal"/>
      <w:start w:val="1"/>
    </w:lvl>
    <w:lvl w:ilvl="1">
      <w:lvlJc w:val="left"/>
      <w:lvlText w:val="(%2)"/>
      <w:numFmt w:val="lowerLetter"/>
      <w:start w:val="2"/>
    </w:lvl>
  </w:abstractNum>
  <w:abstractNum w:abstractNumId="54">
    <w:nsid w:val="10233C99"/>
    <w:multiLevelType w:val="hybridMultilevel"/>
    <w:lvl w:ilvl="0">
      <w:lvlJc w:val="left"/>
      <w:lvlText w:val="%1."/>
      <w:numFmt w:val="decimal"/>
      <w:start w:val="9"/>
    </w:lvl>
    <w:lvl w:ilvl="1">
      <w:lvlJc w:val="left"/>
      <w:lvlText w:val="(%2)"/>
      <w:numFmt w:val="lowerLetter"/>
      <w:start w:val="1"/>
    </w:lvl>
  </w:abstractNum>
  <w:abstractNum w:abstractNumId="55">
    <w:nsid w:val="3F6AB60F"/>
    <w:multiLevelType w:val="hybridMultilevel"/>
    <w:lvl w:ilvl="0">
      <w:lvlJc w:val="left"/>
      <w:lvlText w:val="(%1)"/>
      <w:numFmt w:val="lowerLetter"/>
      <w:start w:val="2"/>
    </w:lvl>
  </w:abstractNum>
  <w:abstractNum w:abstractNumId="56">
    <w:nsid w:val="6157409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57">
    <w:nsid w:val="7E0C57B1"/>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58">
    <w:nsid w:val="77AE35EB"/>
    <w:multiLevelType w:val="hybridMultilevel"/>
    <w:lvl w:ilvl="0">
      <w:lvlJc w:val="left"/>
      <w:lvlText w:val="(%1)"/>
      <w:numFmt w:val="lowerLetter"/>
      <w:start w:val="35"/>
    </w:lvl>
    <w:lvl w:ilvl="1">
      <w:lvlJc w:val="left"/>
      <w:lvlText w:val="%2."/>
      <w:numFmt w:val="decimal"/>
      <w:start w:val="13"/>
    </w:lvl>
    <w:lvl w:ilvl="2">
      <w:lvlJc w:val="left"/>
      <w:lvlText w:val="(%3)"/>
      <w:numFmt w:val="lowerLetter"/>
      <w:start w:val="2"/>
    </w:lvl>
  </w:abstractNum>
  <w:abstractNum w:abstractNumId="59">
    <w:nsid w:val="579BE4F1"/>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60">
    <w:nsid w:val="310C50B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61">
    <w:nsid w:val="5FF87E05"/>
    <w:multiLevelType w:val="hybridMultilevel"/>
    <w:lvl w:ilvl="0">
      <w:lvlJc w:val="left"/>
      <w:lvlText w:val="(%1)"/>
      <w:numFmt w:val="lowerLetter"/>
      <w:start w:val="35"/>
    </w:lvl>
    <w:lvl w:ilvl="1">
      <w:lvlJc w:val="left"/>
      <w:lvlText w:val="%2."/>
      <w:numFmt w:val="decimal"/>
      <w:start w:val="17"/>
    </w:lvl>
    <w:lvl w:ilvl="2">
      <w:lvlJc w:val="left"/>
      <w:lvlText w:val="(%3)"/>
      <w:numFmt w:val="lowerLetter"/>
      <w:start w:val="1"/>
    </w:lvl>
  </w:abstractNum>
  <w:abstractNum w:abstractNumId="62">
    <w:nsid w:val="2F305DEF"/>
    <w:multiLevelType w:val="hybridMultilevel"/>
    <w:lvl w:ilvl="0">
      <w:lvlJc w:val="left"/>
      <w:lvlText w:val="%1."/>
      <w:numFmt w:val="decimal"/>
      <w:start w:val="20"/>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72" Type="http://schemas.openxmlformats.org/officeDocument/2006/relationships/image" Target="media/image53.png"/><Relationship Id="rId90" Type="http://schemas.openxmlformats.org/officeDocument/2006/relationships/image" Target="media/image54.png"/><Relationship Id="rId91" Type="http://schemas.openxmlformats.org/officeDocument/2006/relationships/image" Target="media/image55.png"/><Relationship Id="rId92" Type="http://schemas.openxmlformats.org/officeDocument/2006/relationships/image" Target="media/image56.png"/><Relationship Id="rId93" Type="http://schemas.openxmlformats.org/officeDocument/2006/relationships/image" Target="media/image57.png"/><Relationship Id="rId94" Type="http://schemas.openxmlformats.org/officeDocument/2006/relationships/image" Target="media/image58.png"/><Relationship Id="rId95" Type="http://schemas.openxmlformats.org/officeDocument/2006/relationships/image" Target="media/image59.png"/><Relationship Id="rId96" Type="http://schemas.openxmlformats.org/officeDocument/2006/relationships/image" Target="media/image60.png"/><Relationship Id="rId97" Type="http://schemas.openxmlformats.org/officeDocument/2006/relationships/image" Target="media/image61.png"/><Relationship Id="rId98" Type="http://schemas.openxmlformats.org/officeDocument/2006/relationships/image" Target="media/image62.png"/><Relationship Id="rId99" Type="http://schemas.openxmlformats.org/officeDocument/2006/relationships/image" Target="media/image63.png"/><Relationship Id="rId100" Type="http://schemas.openxmlformats.org/officeDocument/2006/relationships/image" Target="media/image64.png"/><Relationship Id="rId101" Type="http://schemas.openxmlformats.org/officeDocument/2006/relationships/image" Target="media/image65.png"/><Relationship Id="rId102" Type="http://schemas.openxmlformats.org/officeDocument/2006/relationships/image" Target="media/image66.png"/><Relationship Id="rId103" Type="http://schemas.openxmlformats.org/officeDocument/2006/relationships/image" Target="media/image67.png"/><Relationship Id="rId104" Type="http://schemas.openxmlformats.org/officeDocument/2006/relationships/image" Target="media/image68.png"/><Relationship Id="rId105" Type="http://schemas.openxmlformats.org/officeDocument/2006/relationships/image" Target="media/image69.png"/><Relationship Id="rId106" Type="http://schemas.openxmlformats.org/officeDocument/2006/relationships/image" Target="media/image70.png"/><Relationship Id="rId107" Type="http://schemas.openxmlformats.org/officeDocument/2006/relationships/image" Target="media/image71.png"/><Relationship Id="rId108" Type="http://schemas.openxmlformats.org/officeDocument/2006/relationships/image" Target="media/image72.png"/><Relationship Id="rId109" Type="http://schemas.openxmlformats.org/officeDocument/2006/relationships/image" Target="media/image73.png"/><Relationship Id="rId110" Type="http://schemas.openxmlformats.org/officeDocument/2006/relationships/image" Target="media/image74.png"/><Relationship Id="rId111" Type="http://schemas.openxmlformats.org/officeDocument/2006/relationships/image" Target="media/image75.png"/><Relationship Id="rId112" Type="http://schemas.openxmlformats.org/officeDocument/2006/relationships/image" Target="media/image76.png"/><Relationship Id="rId113" Type="http://schemas.openxmlformats.org/officeDocument/2006/relationships/image" Target="media/image77.png"/><Relationship Id="rId114" Type="http://schemas.openxmlformats.org/officeDocument/2006/relationships/image" Target="media/image78.png"/><Relationship Id="rId115" Type="http://schemas.openxmlformats.org/officeDocument/2006/relationships/image" Target="media/image79.png"/><Relationship Id="rId116" Type="http://schemas.openxmlformats.org/officeDocument/2006/relationships/image" Target="media/image80.png"/><Relationship Id="rId117" Type="http://schemas.openxmlformats.org/officeDocument/2006/relationships/image" Target="media/image81.png"/><Relationship Id="rId118" Type="http://schemas.openxmlformats.org/officeDocument/2006/relationships/image" Target="media/image82.png"/><Relationship Id="rId119" Type="http://schemas.openxmlformats.org/officeDocument/2006/relationships/image" Target="media/image83.png"/><Relationship Id="rId120" Type="http://schemas.openxmlformats.org/officeDocument/2006/relationships/image" Target="media/image84.png"/><Relationship Id="rId121" Type="http://schemas.openxmlformats.org/officeDocument/2006/relationships/image" Target="media/image85.png"/><Relationship Id="rId122" Type="http://schemas.openxmlformats.org/officeDocument/2006/relationships/image" Target="media/image86.png"/><Relationship Id="rId123" Type="http://schemas.openxmlformats.org/officeDocument/2006/relationships/image" Target="media/image87.png"/><Relationship Id="rId124" Type="http://schemas.openxmlformats.org/officeDocument/2006/relationships/image" Target="media/image88.png"/><Relationship Id="rId125"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60" Type="http://schemas.openxmlformats.org/officeDocument/2006/relationships/hyperlink" Target="http://www.sec.gov/Archives/edgar/data/1289848/000119312505031189/dex31.htm" TargetMode="External"/><Relationship Id="rId61" Type="http://schemas.openxmlformats.org/officeDocument/2006/relationships/hyperlink" Target="https://www.sec.gov/Archives/edgar/data/1289848/000128984822000055/exhibit31-bylaws2022.htm" TargetMode="External"/><Relationship Id="rId62" Type="http://schemas.openxmlformats.org/officeDocument/2006/relationships/hyperlink" Target="http://www.sec.gov/Archives/edgar/data/1289848/000119312504139238/dex41.htm" TargetMode="External"/><Relationship Id="rId63" Type="http://schemas.openxmlformats.org/officeDocument/2006/relationships/hyperlink" Target="http://www.sec.gov/Archives/edgar/data/1289848/000128984820000006/hurn20191231exhibit42.htm" TargetMode="External"/><Relationship Id="rId64" Type="http://schemas.openxmlformats.org/officeDocument/2006/relationships/hyperlink" Target="http://www.sec.gov/Archives/edgar/data/1289848/000094018004000001/dex101.htm" TargetMode="External"/><Relationship Id="rId65" Type="http://schemas.openxmlformats.org/officeDocument/2006/relationships/hyperlink" Target="http://www.sec.gov/Archives/edgar/data/1289848/000119312509036340/dex1012.htm" TargetMode="External"/><Relationship Id="rId66" Type="http://schemas.openxmlformats.org/officeDocument/2006/relationships/hyperlink" Target="http://www.sec.gov/Archives/edgar/data/1289848/000128984817000003/exh101sma-kelly.htm" TargetMode="External"/><Relationship Id="rId67" Type="http://schemas.openxmlformats.org/officeDocument/2006/relationships/hyperlink" Target="http://www.sec.gov/Archives/edgar/data/1289848/000119312513069461/d444342dex1017.htm" TargetMode="External"/><Relationship Id="rId68" Type="http://schemas.openxmlformats.org/officeDocument/2006/relationships/hyperlink" Target="http://www.sec.gov/Archives/edgar/data/1289848/000119312513069461/d444342dex1018.htm" TargetMode="External"/><Relationship Id="rId69" Type="http://schemas.openxmlformats.org/officeDocument/2006/relationships/hyperlink" Target="http://www.sec.gov/Archives/edgar/data/1289848/000119312513069461/d444342dex1019.htm" TargetMode="External"/><Relationship Id="rId70" Type="http://schemas.openxmlformats.org/officeDocument/2006/relationships/hyperlink" Target="http://www.sec.gov/Archives/edgar/data/1289848/000119312513003657/d461972dex101.htm" TargetMode="External"/><Relationship Id="rId71" Type="http://schemas.openxmlformats.org/officeDocument/2006/relationships/hyperlink" Target="http://www.sec.gov/Archives/edgar/data/1289848/000128984820000006/hurnexhibit1013-fifthamend.htm" TargetMode="External"/><Relationship Id="rId73" Type="http://schemas.openxmlformats.org/officeDocument/2006/relationships/hyperlink" Target="http://www.sec.gov/Archives/edgar/data/1289848/000128984819000040/exh101-chicagolease6th.htm" TargetMode="External"/><Relationship Id="rId74" Type="http://schemas.openxmlformats.org/officeDocument/2006/relationships/hyperlink" Target="http://www.sec.gov/Archives/edgar/data/1289848/000119312513069461/d444342dex1020.htm" TargetMode="External"/><Relationship Id="rId75" Type="http://schemas.openxmlformats.org/officeDocument/2006/relationships/hyperlink" Target="http://www.sec.gov/Archives/edgar/data/1289848/000119312515060049/d836724dex1032.htm" TargetMode="External"/><Relationship Id="rId76" Type="http://schemas.openxmlformats.org/officeDocument/2006/relationships/hyperlink" Target="http://www.sec.gov/Archives/edgar/data/1289848/000119312515060049/d836724dex1033.htm" TargetMode="External"/><Relationship Id="rId77" Type="http://schemas.openxmlformats.org/officeDocument/2006/relationships/hyperlink" Target="http://www.sec.gov/Archives/edgar/data/1289848/000119312515060049/d836724dex1034.htm" TargetMode="External"/><Relationship Id="rId78" Type="http://schemas.openxmlformats.org/officeDocument/2006/relationships/hyperlink" Target="http://www.sec.gov/Archives/edgar/data/1289848/000128984820000006/hurnexhibit1034-amendedand.htm" TargetMode="External"/><Relationship Id="rId79" Type="http://schemas.openxmlformats.org/officeDocument/2006/relationships/hyperlink" Target="http://www.sec.gov/Archives/edgar/data/1289848/000128984820000012/exh101sma-torain.htm" TargetMode="External"/><Relationship Id="rId80" Type="http://schemas.openxmlformats.org/officeDocument/2006/relationships/hyperlink" Target="http://www.sec.gov/Archives/edgar/data/1289848/000119312520086543/d867233ddef14a.htm" TargetMode="External"/><Relationship Id="rId81" Type="http://schemas.openxmlformats.org/officeDocument/2006/relationships/hyperlink" Target="https://www.sec.gov/Archives/edgar/data/1289848/000128984821000018/hurn2021414exh101.htm" TargetMode="External"/><Relationship Id="rId82" Type="http://schemas.openxmlformats.org/officeDocument/2006/relationships/hyperlink" Target="https://www.sec.gov/Archives/edgar/data/1289848/000119312521096008/d170561ddef14a.htm" TargetMode="External"/><Relationship Id="rId83" Type="http://schemas.openxmlformats.org/officeDocument/2006/relationships/hyperlink" Target="https://www.sec.gov/Archives/edgar/data/1289848/000128984821000042/hurn2021rsuagreementex101.htm" TargetMode="External"/><Relationship Id="rId84" Type="http://schemas.openxmlformats.org/officeDocument/2006/relationships/hyperlink" Target="https://www.sec.gov/Archives/edgar/data/1289848/000128984822000028/hurnexh101dailsma.htm" TargetMode="External"/><Relationship Id="rId85" Type="http://schemas.openxmlformats.org/officeDocument/2006/relationships/hyperlink" Target="https://www.sec.gov/Archives/edgar/data/1289848/000128984822000059/exh101-thirdamendandrestat.htm" TargetMode="External"/><Relationship Id="rId86" Type="http://schemas.openxmlformats.org/officeDocument/2006/relationships/hyperlink" Target="https://www.sec.gov/Archives/edgar/data/1289848/000128984822000059/exh102-thirdamendandrestat.htm" TargetMode="External"/><Relationship Id="rId87" Type="http://schemas.openxmlformats.org/officeDocument/2006/relationships/hyperlink" Target="https://www.sec.gov/Archives/edgar/data/1289848/000128984822000059/exh103-thirdamendandrestat.htm" TargetMode="External"/><Relationship Id="rId88" Type="http://schemas.openxmlformats.org/officeDocument/2006/relationships/hyperlink" Target="https://www.sec.gov/Archives/edgar/data/1289848/000128984822000065/ex101-husseysmax2023.htm" TargetMode="External"/><Relationship Id="rId89" Type="http://schemas.openxmlformats.org/officeDocument/2006/relationships/hyperlink" Target="https://www.sec.gov/Archives/edgar/data/1289848/000128984822000065/ex102-rothsmax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2023-03-01T06:18:04Z</dcterms:created>
  <dcterms:modified xsi:type="dcterms:W3CDTF">2023-03-01T06:18:04Z</dcterms:modified>
</cp:coreProperties>
</file>