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1960" w:type="dxa"/>
            <w:vAlign w:val="bottom"/>
          </w:tcPr>
          <w:p>
            <w:pPr>
              <w:jc w:val="center"/>
              <w:ind w:right="146"/>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left="3942"/>
              <w:spacing w:after="0"/>
              <w:rPr>
                <w:sz w:val="20"/>
                <w:szCs w:val="20"/>
                <w:color w:val="auto"/>
              </w:rPr>
            </w:pPr>
            <w:r>
              <w:rPr>
                <w:rFonts w:ascii="Arial" w:cs="Arial" w:eastAsia="Arial" w:hAnsi="Arial"/>
                <w:sz w:val="18"/>
                <w:szCs w:val="18"/>
                <w:b w:val="1"/>
                <w:bCs w:val="1"/>
                <w:color w:val="auto"/>
                <w:w w:val="87"/>
              </w:rPr>
              <w:t>01-0666114</w:t>
            </w:r>
          </w:p>
        </w:tc>
      </w:tr>
      <w:tr>
        <w:trPr>
          <w:trHeight w:val="149"/>
        </w:trPr>
        <w:tc>
          <w:tcPr>
            <w:tcW w:w="196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340" w:type="dxa"/>
            <w:vAlign w:val="bottom"/>
          </w:tcPr>
          <w:p>
            <w:pPr>
              <w:jc w:val="center"/>
              <w:ind w:left="3922"/>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1960" w:type="dxa"/>
            <w:vAlign w:val="bottom"/>
          </w:tcPr>
          <w:p>
            <w:pPr>
              <w:jc w:val="center"/>
              <w:ind w:right="126"/>
              <w:spacing w:after="0"/>
              <w:rPr>
                <w:sz w:val="20"/>
                <w:szCs w:val="20"/>
                <w:color w:val="auto"/>
              </w:rPr>
            </w:pPr>
            <w:r>
              <w:rPr>
                <w:rFonts w:ascii="Arial" w:cs="Arial" w:eastAsia="Arial" w:hAnsi="Arial"/>
                <w:sz w:val="14"/>
                <w:szCs w:val="14"/>
                <w:b w:val="1"/>
                <w:bCs w:val="1"/>
                <w:color w:val="auto"/>
                <w:w w:val="88"/>
              </w:rPr>
              <w:t>incorporation or organization)</w:t>
            </w:r>
          </w:p>
        </w:tc>
        <w:tc>
          <w:tcPr>
            <w:tcW w:w="5340" w:type="dxa"/>
            <w:vAlign w:val="bottom"/>
          </w:tcPr>
          <w:p>
            <w:pPr>
              <w:jc w:val="center"/>
              <w:ind w:left="3922"/>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1960" w:type="dxa"/>
            <w:vAlign w:val="bottom"/>
          </w:tcPr>
          <w:p>
            <w:pPr>
              <w:spacing w:after="0"/>
              <w:rPr>
                <w:sz w:val="24"/>
                <w:szCs w:val="24"/>
                <w:color w:val="auto"/>
              </w:rPr>
            </w:pPr>
          </w:p>
        </w:tc>
        <w:tc>
          <w:tcPr>
            <w:tcW w:w="5340" w:type="dxa"/>
            <w:vAlign w:val="bottom"/>
          </w:tcPr>
          <w:p>
            <w:pPr>
              <w:jc w:val="center"/>
              <w:ind w:right="1802"/>
              <w:spacing w:after="0"/>
              <w:rPr>
                <w:sz w:val="20"/>
                <w:szCs w:val="20"/>
                <w:color w:val="auto"/>
              </w:rPr>
            </w:pPr>
            <w:r>
              <w:rPr>
                <w:rFonts w:ascii="Arial" w:cs="Arial" w:eastAsia="Arial" w:hAnsi="Arial"/>
                <w:sz w:val="18"/>
                <w:szCs w:val="18"/>
                <w:b w:val="1"/>
                <w:bCs w:val="1"/>
                <w:color w:val="auto"/>
                <w:w w:val="88"/>
              </w:rPr>
              <w:t>550 West Van Buren Street</w:t>
            </w:r>
          </w:p>
        </w:tc>
      </w:tr>
      <w:tr>
        <w:trPr>
          <w:trHeight w:val="216"/>
        </w:trPr>
        <w:tc>
          <w:tcPr>
            <w:tcW w:w="1960" w:type="dxa"/>
            <w:vAlign w:val="bottom"/>
          </w:tcPr>
          <w:p>
            <w:pPr>
              <w:spacing w:after="0"/>
              <w:rPr>
                <w:sz w:val="18"/>
                <w:szCs w:val="18"/>
                <w:color w:val="auto"/>
              </w:rPr>
            </w:pPr>
          </w:p>
        </w:tc>
        <w:tc>
          <w:tcPr>
            <w:tcW w:w="5340" w:type="dxa"/>
            <w:vAlign w:val="bottom"/>
          </w:tcPr>
          <w:p>
            <w:pPr>
              <w:jc w:val="center"/>
              <w:ind w:right="1802"/>
              <w:spacing w:after="0"/>
              <w:rPr>
                <w:sz w:val="20"/>
                <w:szCs w:val="20"/>
                <w:color w:val="auto"/>
              </w:rPr>
            </w:pPr>
            <w:r>
              <w:rPr>
                <w:rFonts w:ascii="Arial" w:cs="Arial" w:eastAsia="Arial" w:hAnsi="Arial"/>
                <w:sz w:val="18"/>
                <w:szCs w:val="18"/>
                <w:b w:val="1"/>
                <w:bCs w:val="1"/>
                <w:color w:val="auto"/>
                <w:w w:val="88"/>
              </w:rPr>
              <w:t>Chicago, Illinois</w:t>
            </w:r>
          </w:p>
        </w:tc>
      </w:tr>
      <w:tr>
        <w:trPr>
          <w:trHeight w:val="228"/>
        </w:trPr>
        <w:tc>
          <w:tcPr>
            <w:tcW w:w="1960" w:type="dxa"/>
            <w:vAlign w:val="bottom"/>
          </w:tcPr>
          <w:p>
            <w:pPr>
              <w:spacing w:after="0"/>
              <w:rPr>
                <w:sz w:val="19"/>
                <w:szCs w:val="19"/>
                <w:color w:val="auto"/>
              </w:rPr>
            </w:pPr>
          </w:p>
        </w:tc>
        <w:tc>
          <w:tcPr>
            <w:tcW w:w="5340" w:type="dxa"/>
            <w:vAlign w:val="bottom"/>
          </w:tcPr>
          <w:p>
            <w:pPr>
              <w:jc w:val="right"/>
              <w:ind w:right="3302"/>
              <w:spacing w:after="0"/>
              <w:rPr>
                <w:sz w:val="20"/>
                <w:szCs w:val="20"/>
                <w:color w:val="auto"/>
              </w:rPr>
            </w:pPr>
            <w:r>
              <w:rPr>
                <w:rFonts w:ascii="Arial" w:cs="Arial" w:eastAsia="Arial" w:hAnsi="Arial"/>
                <w:sz w:val="18"/>
                <w:szCs w:val="18"/>
                <w:b w:val="1"/>
                <w:bCs w:val="1"/>
                <w:color w:val="auto"/>
              </w:rPr>
              <w:t>60607</w:t>
            </w:r>
          </w:p>
        </w:tc>
      </w:tr>
      <w:tr>
        <w:trPr>
          <w:trHeight w:val="151"/>
        </w:trPr>
        <w:tc>
          <w:tcPr>
            <w:tcW w:w="1960" w:type="dxa"/>
            <w:vAlign w:val="bottom"/>
          </w:tcPr>
          <w:p>
            <w:pPr>
              <w:spacing w:after="0"/>
              <w:rPr>
                <w:sz w:val="13"/>
                <w:szCs w:val="13"/>
                <w:color w:val="auto"/>
              </w:rPr>
            </w:pPr>
          </w:p>
        </w:tc>
        <w:tc>
          <w:tcPr>
            <w:tcW w:w="5340" w:type="dxa"/>
            <w:vAlign w:val="bottom"/>
          </w:tcPr>
          <w:p>
            <w:pPr>
              <w:jc w:val="center"/>
              <w:ind w:right="1782"/>
              <w:spacing w:after="0" w:line="151" w:lineRule="exact"/>
              <w:rPr>
                <w:sz w:val="20"/>
                <w:szCs w:val="20"/>
                <w:color w:val="auto"/>
              </w:rPr>
            </w:pPr>
            <w:r>
              <w:rPr>
                <w:rFonts w:ascii="Arial" w:cs="Arial" w:eastAsia="Arial" w:hAnsi="Arial"/>
                <w:sz w:val="14"/>
                <w:szCs w:val="14"/>
                <w:b w:val="1"/>
                <w:bCs w:val="1"/>
                <w:color w:val="auto"/>
                <w:w w:val="85"/>
              </w:rPr>
              <w:t>(Address of principal executive offices)</w:t>
            </w:r>
          </w:p>
        </w:tc>
      </w:tr>
      <w:tr>
        <w:trPr>
          <w:trHeight w:val="174"/>
        </w:trPr>
        <w:tc>
          <w:tcPr>
            <w:tcW w:w="1960" w:type="dxa"/>
            <w:vAlign w:val="bottom"/>
          </w:tcPr>
          <w:p>
            <w:pPr>
              <w:spacing w:after="0"/>
              <w:rPr>
                <w:sz w:val="15"/>
                <w:szCs w:val="15"/>
                <w:color w:val="auto"/>
              </w:rPr>
            </w:pPr>
          </w:p>
        </w:tc>
        <w:tc>
          <w:tcPr>
            <w:tcW w:w="5340" w:type="dxa"/>
            <w:vAlign w:val="bottom"/>
          </w:tcPr>
          <w:p>
            <w:pPr>
              <w:jc w:val="center"/>
              <w:ind w:right="1802"/>
              <w:spacing w:after="0"/>
              <w:rPr>
                <w:sz w:val="20"/>
                <w:szCs w:val="20"/>
                <w:color w:val="auto"/>
              </w:rPr>
            </w:pPr>
            <w:r>
              <w:rPr>
                <w:rFonts w:ascii="Arial" w:cs="Arial" w:eastAsia="Arial" w:hAnsi="Arial"/>
                <w:sz w:val="14"/>
                <w:szCs w:val="14"/>
                <w:b w:val="1"/>
                <w:bCs w:val="1"/>
                <w:color w:val="auto"/>
                <w:w w:val="89"/>
              </w:rPr>
              <w:t>(Zip Code)</w:t>
            </w:r>
          </w:p>
        </w:tc>
      </w:tr>
      <w:tr>
        <w:trPr>
          <w:trHeight w:val="366"/>
        </w:trPr>
        <w:tc>
          <w:tcPr>
            <w:tcW w:w="1960" w:type="dxa"/>
            <w:vAlign w:val="bottom"/>
          </w:tcPr>
          <w:p>
            <w:pPr>
              <w:spacing w:after="0"/>
              <w:rPr>
                <w:sz w:val="24"/>
                <w:szCs w:val="24"/>
                <w:color w:val="auto"/>
              </w:rPr>
            </w:pPr>
          </w:p>
        </w:tc>
        <w:tc>
          <w:tcPr>
            <w:tcW w:w="5340" w:type="dxa"/>
            <w:vAlign w:val="bottom"/>
          </w:tcPr>
          <w:p>
            <w:pPr>
              <w:jc w:val="right"/>
              <w:ind w:right="2982"/>
              <w:spacing w:after="0"/>
              <w:rPr>
                <w:sz w:val="20"/>
                <w:szCs w:val="20"/>
                <w:color w:val="auto"/>
              </w:rPr>
            </w:pPr>
            <w:r>
              <w:rPr>
                <w:rFonts w:ascii="Arial" w:cs="Arial" w:eastAsia="Arial" w:hAnsi="Arial"/>
                <w:sz w:val="18"/>
                <w:szCs w:val="18"/>
                <w:b w:val="1"/>
                <w:bCs w:val="1"/>
                <w:color w:val="auto"/>
              </w:rPr>
              <w:t>(312) 583-8700</w:t>
            </w:r>
          </w:p>
        </w:tc>
      </w:tr>
      <w:tr>
        <w:trPr>
          <w:trHeight w:val="174"/>
        </w:trPr>
        <w:tc>
          <w:tcPr>
            <w:tcW w:w="1960" w:type="dxa"/>
            <w:vAlign w:val="bottom"/>
          </w:tcPr>
          <w:p>
            <w:pPr>
              <w:spacing w:after="0"/>
              <w:rPr>
                <w:sz w:val="15"/>
                <w:szCs w:val="15"/>
                <w:color w:val="auto"/>
              </w:rPr>
            </w:pPr>
          </w:p>
        </w:tc>
        <w:tc>
          <w:tcPr>
            <w:tcW w:w="5340" w:type="dxa"/>
            <w:vAlign w:val="bottom"/>
          </w:tcPr>
          <w:p>
            <w:pPr>
              <w:jc w:val="center"/>
              <w:ind w:right="180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8740" w:type="dxa"/>
            <w:vAlign w:val="bottom"/>
            <w:gridSpan w:val="2"/>
          </w:tcPr>
          <w:p>
            <w:pPr>
              <w:spacing w:after="0"/>
              <w:rPr>
                <w:sz w:val="20"/>
                <w:szCs w:val="20"/>
                <w:color w:val="auto"/>
              </w:rPr>
            </w:pPr>
            <w:r>
              <w:rPr>
                <w:rFonts w:ascii="Arial" w:cs="Arial" w:eastAsia="Arial" w:hAnsi="Arial"/>
                <w:sz w:val="18"/>
                <w:szCs w:val="18"/>
                <w:color w:val="auto"/>
                <w:w w:val="92"/>
              </w:rPr>
              <w:t>As of April 18, 2013, 23,277,877 shares of the registrant’s common stock, par value $0.01 per share, were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0"/>
        </w:trPr>
        <w:tc>
          <w:tcPr>
            <w:tcW w:w="1760" w:type="dxa"/>
            <w:vAlign w:val="bottom"/>
            <w:tcBorders>
              <w:bottom w:val="single" w:sz="8" w:color="auto"/>
            </w:tcBorders>
          </w:tcPr>
          <w:p>
            <w:pPr>
              <w:spacing w:after="0"/>
              <w:rPr>
                <w:sz w:val="6"/>
                <w:szCs w:val="6"/>
                <w:color w:val="auto"/>
              </w:rPr>
            </w:pPr>
          </w:p>
        </w:tc>
        <w:tc>
          <w:tcPr>
            <w:tcW w:w="698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9"/>
            <w:vMerge w:val="restart"/>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8740" w:type="dxa"/>
            <w:vAlign w:val="bottom"/>
            <w:gridSpan w:val="12"/>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0000EE"/>
            </w:tcBorders>
            <w:gridSpan w:val="9"/>
            <w:vMerge w:val="continue"/>
          </w:tcPr>
          <w:p>
            <w:pPr>
              <w:spacing w:after="0"/>
              <w:rPr>
                <w:sz w:val="13"/>
                <w:szCs w:val="13"/>
                <w:color w:val="auto"/>
              </w:rPr>
            </w:pPr>
          </w:p>
        </w:tc>
        <w:tc>
          <w:tcPr>
            <w:tcW w:w="8740" w:type="dxa"/>
            <w:vAlign w:val="bottom"/>
            <w:gridSpan w:val="1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9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Consolidated Financial Statements</w:t>
              </w:r>
            </w:hyperlink>
          </w:p>
        </w:tc>
        <w:tc>
          <w:tcPr>
            <w:tcW w:w="762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81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tcBorders>
              <w:top w:val="single" w:sz="8" w:color="0000EE"/>
            </w:tcBorders>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w:t>
              </w:r>
            </w:hyperlink>
          </w:p>
        </w:tc>
        <w:tc>
          <w:tcPr>
            <w:tcW w:w="51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580" w:type="dxa"/>
            <w:vAlign w:val="bottom"/>
            <w:tcBorders>
              <w:top w:val="single" w:sz="8" w:color="0000EE"/>
            </w:tcBorders>
            <w:gridSpan w:val="2"/>
          </w:tcPr>
          <w:p>
            <w:pPr>
              <w:spacing w:after="0"/>
              <w:rPr>
                <w:sz w:val="24"/>
                <w:szCs w:val="24"/>
                <w:color w:val="auto"/>
              </w:rPr>
            </w:pPr>
          </w:p>
        </w:tc>
        <w:tc>
          <w:tcPr>
            <w:tcW w:w="67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3"/>
          </w:tcPr>
          <w:p>
            <w:pPr>
              <w:spacing w:after="0"/>
              <w:rPr>
                <w:sz w:val="24"/>
                <w:szCs w:val="24"/>
                <w:color w:val="auto"/>
              </w:rPr>
            </w:pPr>
          </w:p>
        </w:tc>
        <w:tc>
          <w:tcPr>
            <w:tcW w:w="87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58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 Mine Safety Disclosures</w:t>
              </w:r>
            </w:hyperlink>
          </w:p>
        </w:tc>
        <w:tc>
          <w:tcPr>
            <w:tcW w:w="78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 Other Information</w:t>
              </w:r>
            </w:hyperlink>
          </w:p>
        </w:tc>
        <w:tc>
          <w:tcPr>
            <w:tcW w:w="83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87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7">
              <w:r>
                <w:rPr>
                  <w:rFonts w:ascii="Arial" w:cs="Arial" w:eastAsia="Arial" w:hAnsi="Arial"/>
                  <w:sz w:val="18"/>
                  <w:szCs w:val="18"/>
                  <w:b w:val="1"/>
                  <w:bCs w:val="1"/>
                  <w:color w:val="0000EE"/>
                  <w:w w:val="86"/>
                </w:rPr>
                <w:t>Signature</w:t>
              </w:r>
            </w:hyperlink>
          </w:p>
        </w:tc>
        <w:tc>
          <w:tcPr>
            <w:tcW w:w="1030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9400" w:type="dxa"/>
            <w:vAlign w:val="bottom"/>
          </w:tcPr>
          <w:p>
            <w:pPr>
              <w:spacing w:after="0"/>
              <w:rPr>
                <w:sz w:val="12"/>
                <w:szCs w:val="12"/>
                <w:color w:val="auto"/>
              </w:rPr>
            </w:pPr>
          </w:p>
        </w:tc>
        <w:tc>
          <w:tcPr>
            <w:tcW w:w="1120" w:type="dxa"/>
            <w:vAlign w:val="bottom"/>
            <w:gridSpan w:val="3"/>
          </w:tcPr>
          <w:p>
            <w:pPr>
              <w:jc w:val="right"/>
              <w:ind w:right="500"/>
              <w:spacing w:after="0" w:line="147" w:lineRule="exact"/>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9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25,162</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Receivables from clients,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101,549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97,510</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 services,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59,123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47,232</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14,751</w:t>
            </w:r>
          </w:p>
        </w:tc>
      </w:tr>
      <w:tr>
        <w:trPr>
          <w:trHeight w:val="223"/>
        </w:trPr>
        <w:tc>
          <w:tcPr>
            <w:tcW w:w="940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13,914</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tcPr>
          <w:p>
            <w:pPr>
              <w:spacing w:after="0"/>
              <w:rPr>
                <w:sz w:val="19"/>
                <w:szCs w:val="19"/>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190,969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200,372</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33,269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33,805</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15,322</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17,337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18,879</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518,916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519,522</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776,075</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787,900</w:t>
            </w:r>
          </w:p>
        </w:tc>
      </w:tr>
      <w:tr>
        <w:trPr>
          <w:trHeight w:val="20"/>
        </w:trPr>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8,461</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15,786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17,692</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payroll and related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61,672</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Bank borrowings, current portion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consideration for business acquisitions, current portion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7,872</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15,345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shd w:val="clear" w:color="auto" w:fill="CCEEFF"/>
          </w:tcPr>
          <w:p>
            <w:pPr>
              <w:spacing w:after="0"/>
              <w:rPr>
                <w:sz w:val="18"/>
                <w:szCs w:val="18"/>
                <w:color w:val="auto"/>
              </w:rPr>
            </w:pPr>
          </w:p>
        </w:tc>
      </w:tr>
      <w:tr>
        <w:trPr>
          <w:trHeight w:val="221"/>
        </w:trPr>
        <w:tc>
          <w:tcPr>
            <w:tcW w:w="940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101,729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116,725</w:t>
            </w:r>
          </w:p>
        </w:tc>
      </w:tr>
      <w:tr>
        <w:trPr>
          <w:trHeight w:val="21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Deferred compensation and other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7,140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6,973</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borrowings, net of current portion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177,500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192,500</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Deferred lease incentives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6,874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6,936</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14,560</w:t>
            </w:r>
          </w:p>
        </w:tc>
      </w:tr>
      <w:tr>
        <w:trPr>
          <w:trHeight w:val="223"/>
        </w:trPr>
        <w:tc>
          <w:tcPr>
            <w:tcW w:w="9400" w:type="dxa"/>
            <w:vAlign w:val="bottom"/>
          </w:tcPr>
          <w:p>
            <w:pPr>
              <w:ind w:left="440"/>
              <w:spacing w:after="0"/>
              <w:rPr>
                <w:sz w:val="20"/>
                <w:szCs w:val="20"/>
                <w:color w:val="auto"/>
              </w:rPr>
            </w:pPr>
            <w:r>
              <w:rPr>
                <w:rFonts w:ascii="Arial" w:cs="Arial" w:eastAsia="Arial" w:hAnsi="Arial"/>
                <w:sz w:val="18"/>
                <w:szCs w:val="18"/>
                <w:color w:val="auto"/>
              </w:rPr>
              <w:t>Accrued consideration for business acquisitions, net of current portion</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212,254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225,854</w:t>
            </w: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400" w:type="dxa"/>
            <w:vAlign w:val="bottom"/>
          </w:tcPr>
          <w:p>
            <w:pPr>
              <w:spacing w:after="0"/>
              <w:rPr>
                <w:sz w:val="20"/>
                <w:szCs w:val="20"/>
                <w:color w:val="auto"/>
              </w:rPr>
            </w:pPr>
            <w:r>
              <w:rPr>
                <w:rFonts w:ascii="Arial" w:cs="Arial" w:eastAsia="Arial" w:hAnsi="Arial"/>
                <w:sz w:val="18"/>
                <w:szCs w:val="18"/>
                <w:color w:val="auto"/>
                <w:w w:val="92"/>
              </w:rPr>
              <w:t>Common stock; $0.01 par value; 500,000,000 shares authorized; 25,184,665 and 24,793,327 shares issued at March 31, 2013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400" w:type="dxa"/>
            <w:vAlign w:val="bottom"/>
          </w:tcPr>
          <w:p>
            <w:pPr>
              <w:ind w:left="220"/>
              <w:spacing w:after="0"/>
              <w:rPr>
                <w:sz w:val="20"/>
                <w:szCs w:val="20"/>
                <w:color w:val="auto"/>
              </w:rPr>
            </w:pPr>
            <w:r>
              <w:rPr>
                <w:rFonts w:ascii="Arial" w:cs="Arial" w:eastAsia="Arial" w:hAnsi="Arial"/>
                <w:sz w:val="18"/>
                <w:szCs w:val="18"/>
                <w:color w:val="auto"/>
              </w:rPr>
              <w:t>and December 31, 2012, respectively</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1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1,893,745 and 1,880,809 shares at March 31, 2013 and December 31, 2012, respectively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(84,137)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(83,715)</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427,607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420,825</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120,667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109,330</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(2,288)</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462,092</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445,321</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776,075</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787,900</w:t>
            </w:r>
          </w:p>
        </w:tc>
      </w:tr>
      <w:tr>
        <w:trPr>
          <w:trHeight w:val="20"/>
        </w:trPr>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66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Revenues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164,036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179,372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152,433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Direct costs and reimbursable expenses </w:t>
            </w:r>
            <w:r>
              <w:rPr>
                <w:rFonts w:ascii="Arial" w:cs="Arial" w:eastAsia="Arial" w:hAnsi="Arial"/>
                <w:sz w:val="18"/>
                <w:szCs w:val="18"/>
                <w:color w:val="auto"/>
                <w:w w:val="94"/>
              </w:rPr>
              <w:t>(exclusive of depreciation and amortization shown in 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Direct costs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106,128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and software development costs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Reimbursable expenses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122,137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111,741</w:t>
            </w: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Restructuring charges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Litigation settlement gain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income, net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11,369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2"/>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11,337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vMerge w:val="continue"/>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vMerge w:val="continue"/>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22,139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Foreign currency translation (loss) gain, net of tax</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cash flow hedging instruments, net of tax</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w w:val="87"/>
              </w:rPr>
              <w:t>Common Stock</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Comprehensive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Stockholders’</w:t>
            </w: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Equity</w:t>
            </w:r>
          </w:p>
        </w:tc>
      </w:tr>
      <w:tr>
        <w:trPr>
          <w:trHeight w:val="142"/>
        </w:trPr>
        <w:tc>
          <w:tcPr>
            <w:tcW w:w="20" w:type="dxa"/>
            <w:vAlign w:val="bottom"/>
          </w:tcPr>
          <w:p>
            <w:pPr>
              <w:spacing w:after="0"/>
              <w:rPr>
                <w:sz w:val="12"/>
                <w:szCs w:val="12"/>
                <w:color w:val="auto"/>
              </w:rPr>
            </w:pPr>
          </w:p>
        </w:tc>
        <w:tc>
          <w:tcPr>
            <w:tcW w:w="4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2012</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23,904,125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240</w:t>
            </w: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(1,889,465)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$(83,715)</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420,825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$ 109,330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(1,359)</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445,321</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11,337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(929)</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10,408</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42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310,001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3,549</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20,211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w:t>
            </w: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6,323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6,323</w:t>
            </w: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(16,283)</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(565)</w:t>
            </w:r>
          </w:p>
        </w:tc>
      </w:tr>
      <w:tr>
        <w:trPr>
          <w:trHeight w:val="156"/>
        </w:trPr>
        <w:tc>
          <w:tcPr>
            <w:tcW w:w="20" w:type="dxa"/>
            <w:vAlign w:val="bottom"/>
          </w:tcPr>
          <w:p>
            <w:pPr>
              <w:spacing w:after="0"/>
              <w:rPr>
                <w:sz w:val="13"/>
                <w:szCs w:val="13"/>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Income tax benefit on share-based compensation</w:t>
            </w: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578</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2013</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24,234,337</w:t>
            </w: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243</w:t>
            </w:r>
          </w:p>
        </w:tc>
        <w:tc>
          <w:tcPr>
            <w:tcW w:w="10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(1,902,199)</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(84,137)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427,607</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$ 120,667</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(2,288)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462,092</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11,337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receivables from clients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(Increase) decrease in unbilled services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(18,423)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current income tax receivable / payable,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(Increase) decrease in other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accounts payable and 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Increase (decrease) in accrued payroll and related benefits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(27,018)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deferred revenues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(24,826)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life insurance policies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Purchases of businesses, net of cash acquired</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internally developed software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(4,775)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Shares redeemed for employee tax withholdings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Tax benefit from share-based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 under credit facility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Repayments on credit facility</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(19,413)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5,749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 leading provider of operational and financial consulting services. We help clients in diverse industries improve performance, reduce costs, leverage technology, process and review large amounts of complex data, address regulatory changes, recover from distress and stimulate growth. Our professionals employ their expertise in administration, management, finance and operations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21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accompanying unaudited Consolidated Financial Statements reflect the financial position, results of operations and cash flows as of and for the three months ended March 31, 2013 and 2012.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presentation of our financial position, results of operations and cash flows for the interim periods presented in conformity with GAAP. These financial statements should be read in conjunction with the Consolidated Financial Statements and notes thereto for the year ended December 31, 2012 included in our Annual Report on Form 10-K.</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Certain amounts reported in the previous year have been reclassified to conform to the 2013 presentation. Our results for any interim period are not necessarily indicative of results for a full year or any other interim period.</w:t>
      </w:r>
    </w:p>
    <w:p>
      <w:pPr>
        <w:spacing w:after="0" w:line="207"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February 2013, the FASB issued ASU No. 2013-02, Reporting of Amounts Reclassified Out of Accumulated Other Comprehensive Income, which amends current accounting guidance on comprehensive income. The guidance requires an entity to present, either on the face of the statement where net income is presented or in the notes, significant amounts reclassified out of accumulated other comprehensive income by the respective line items of net income if the amount is reclassified to net income in its entirety in the same reporting period. For other amounts not required to be reclassified in their entirety to net income in the same reporting period, a cross reference to other disclosures that provide additional detail about the reclassification amounts is required. The Company adopted this guidance effective January 1, 2013. The guidance required a change in disclosure only and did not have any effect on the Company’s consolidated financial statements.</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This guidance will be effective for the Company beginning in the first quarter of 2014. We do not expect the adoption to have a material impact on our consolidated financial statements.</w:t>
      </w:r>
    </w:p>
    <w:p>
      <w:pPr>
        <w:spacing w:after="0" w:line="222"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recent years, we have undertaken several separate initiatives to divest certain practices within the Huron Financial segment in order to enable us to devote more of our energy and financial resources to the remaining businesses of the Company where we have a more substantial market presence. Most recently, on December 30, 2011, we sold the Accounting Advisory (“AA”) practice to a group of investors including the managing director of the practice at the time and recognized a loss of $1.9 million in connection with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operating results of AA are reported as “discontinued operations.” All other operations of the business are considered “continuing operations.” Summarized operating results of discontinued operations are presented in the following table: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2013</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income from discontinued operations before income tax expense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rPr>
              <w:t>(53)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assets or liabilities related to discontinued operations in the Consolidated Balance Sheets as of March 31, 2013 or December 31, 2012.</w:t>
      </w:r>
    </w:p>
    <w:p>
      <w:pPr>
        <w:spacing w:after="0" w:line="269"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segment for the three months ended March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Current Segments</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Huron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Education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Former Segments</w:t>
            </w:r>
          </w:p>
        </w:tc>
        <w:tc>
          <w:tcPr>
            <w:tcW w:w="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Huron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Huron</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 Life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Huron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auto"/>
                <w:w w:val="86"/>
              </w:rPr>
              <w:t>Healthcare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92"/>
              </w:rPr>
              <w:t>Legal</w:t>
            </w:r>
          </w:p>
        </w:tc>
        <w:tc>
          <w:tcPr>
            <w:tcW w:w="20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78"/>
              </w:rPr>
              <w:t>Sciences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5"/>
              </w:rPr>
              <w:t>Financial</w:t>
            </w:r>
          </w:p>
        </w:tc>
        <w:tc>
          <w:tcPr>
            <w:tcW w:w="120" w:type="dxa"/>
            <w:vAlign w:val="bottom"/>
          </w:tcPr>
          <w:p>
            <w:pPr>
              <w:spacing w:after="0"/>
              <w:rPr>
                <w:sz w:val="12"/>
                <w:szCs w:val="12"/>
                <w:color w:val="auto"/>
              </w:rPr>
            </w:pP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Health and Education Consulting</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$355,880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$ 94,601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$ 450,481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52,947</w:t>
            </w:r>
          </w:p>
        </w:tc>
        <w:tc>
          <w:tcPr>
            <w:tcW w:w="20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Consulting</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159,077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80" w:type="dxa"/>
            <w:vAlign w:val="bottom"/>
            <w:gridSpan w:val="3"/>
          </w:tcPr>
          <w:p>
            <w:pPr>
              <w:spacing w:after="0"/>
              <w:rPr>
                <w:sz w:val="20"/>
                <w:szCs w:val="20"/>
                <w:color w:val="auto"/>
              </w:rPr>
            </w:pPr>
            <w:r>
              <w:rPr>
                <w:rFonts w:ascii="Arial" w:cs="Arial" w:eastAsia="Arial" w:hAnsi="Arial"/>
                <w:sz w:val="18"/>
                <w:szCs w:val="18"/>
                <w:color w:val="auto"/>
              </w:rPr>
              <w:t>Total new alignment as of December 31, 2012</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355,880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52,947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94,601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159,077</w:t>
            </w:r>
          </w:p>
        </w:tc>
        <w:tc>
          <w:tcPr>
            <w:tcW w:w="1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662,505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(142,983)</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(142,983)</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Goodwill, net as of December 31, 2012</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355,880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52,947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94,601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16,094</w:t>
            </w:r>
          </w:p>
        </w:tc>
        <w:tc>
          <w:tcPr>
            <w:tcW w:w="1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519,522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Goodwill, net as of March 31, 2013</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3"/>
            <w:vMerge w:val="continue"/>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355,880</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52,341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$ 94,601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16,094</w:t>
            </w:r>
          </w:p>
        </w:tc>
        <w:tc>
          <w:tcPr>
            <w:tcW w:w="1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$ 518,916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 and reporting units.</w:t>
      </w:r>
    </w:p>
    <w:p>
      <w:pPr>
        <w:spacing w:after="0" w:line="14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accordance with ASC 350, “Intangibles – Goodwill and Other”,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conjunction with the goodwill reassignment, we performed the first step of the goodwill impairment test for the goodwill balances within our Huron Healthcare and Huron Education and Life Sciences reporting units as of January 2, 2013. Based on the result of the first step of the goodwill impairment test, we determined that the fair values of our Huron Healthcare and Huron Education and Life Sciences reporting units exceeded their carrying values. Since the fair values of both reporting units exceeded their carrying values, the second step of the goodwill impairment test was not necessary.</w:t>
      </w:r>
    </w:p>
    <w:p>
      <w:pPr>
        <w:spacing w:after="0" w:line="11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estimating the fair value of our Huron Healthcare and Huron Education and Life Sciences reporting units,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our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six-year forecast. For periods after the six-year forecast, we assumed a 3.5% long-term annual revenue growth rate. Our forecast is based on our historical experience, current backlog, expected market demand, and other industry information. Our discounted cash flow analysis assumed a 13% weighted average cost of capital (“WACC”) discount rate for each reporting unit.</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adjusted for factors similar to those used in a discounted cash flow analysis and applied to the operating data for our reporting units to arrive at an indication of value.</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2013 and December 31, 2012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Useful</w:t>
            </w:r>
          </w:p>
        </w:tc>
        <w:tc>
          <w:tcPr>
            <w:tcW w:w="2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March 31, 2013</w:t>
            </w:r>
          </w:p>
        </w:tc>
        <w:tc>
          <w:tcPr>
            <w:tcW w:w="14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Life in</w:t>
            </w:r>
          </w:p>
        </w:tc>
        <w:tc>
          <w:tcPr>
            <w:tcW w:w="2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Years</w:t>
            </w:r>
          </w:p>
        </w:tc>
        <w:tc>
          <w:tcPr>
            <w:tcW w:w="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 to 13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$24,634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$24,738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 to 6</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4,684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3,295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4,684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7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 to 8</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Technology and software</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4,041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1,953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Document reviewer database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33,959</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16,622</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34,063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Identifiable intangible assets with finite lives are amortized over their estimated useful lives. The majority of customer relationships are amortized on an accelerated basis to correspond to the cash flows expected to be derived from the relationships. All other customer relationships, non-competition agreements, trade names, technology and software, and the document reviewer database are amortized on a straight-line basis.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Intangible assets amortization expense was $1.5 million and $1.6 million for the three months ended March 31, 2013 and 2012, respectively. Estimated annual intangible assets amortization expense is $5.8 million for 2013, $4.5 million for 2014, $3.1 million for 2015, $1.8 million for 2016, $1.2 million for 2017 and $0.7 million for 2018. Actual future amortization expense could differ from these estimated amounts as a result of future acquisitions and other factors.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11,337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22,139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22,487</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5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5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computation of diluted earnings per share excludes unvested restricted common stock, outstanding options and other common stock equivalents in periods where inclusion of such potential common stock instruments would be anti-dilutive. The weighted average common stock equivalents presented above do not include the effect of approximately 78,900 and 22,000 common stock equivalents for the three months ended March 31, 2013 and 2012, respectively, because their inclusion would be anti-dilutive.</w:t>
      </w:r>
    </w:p>
    <w:p>
      <w:pPr>
        <w:spacing w:after="0" w:line="218"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amendment to the credit agreement dated as of August 31, 2012 (collectively, the “2011 Credit Agreement”). The 2011 Credit Agreement replaced the previous Credit Agreement, dated as of June 7, 2006, and all subsequent amendments thereto, by and among the Company and the lenders therein.</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Term Loan, as amended, is subject to scheduled quarterly amortization payments equal to 4.9% of the original principal balance in 2012, which was paid as of December 31, 2012, 11.7% in 2013, 12.4% in 2014, 14.2% in 2015, 14.8% in 2016 and 42.0% in 2017, as set forth in the 2011 Credit Agreement. The maturity date for the Term Loan is August 31, 2017, at which time the outstanding principal balance and all accrued interest will be due and payable in full. All outstanding borrowings under the Revolver, as amended, will be due upon expiration of the 2011 Credit Agreement on August 31, 2017.</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that varies throughout the term and was 3.25 to 1.00 as of March 31, 2013, as those ratios are defined therein, as well as a minimum net worth greater than $150 million. At March 31, 2013, we were in compliance with these financial covenants with a fixed charge coverage ratio of 3.81 to 1.00, a leverage ratio of 1.54 to 1.00, and net worth greater than $150 million. At December 31, 2012, we were also in compliance with our financial debt covenants.</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March 31, 2013, outstanding letters of credit totaled $5.1 million and are primarily used as security deposits for our office facilities. As of March 31, 2013, the unused borrowing capacity under the 2011 Credit Agreement was $227.4 million. Borrowings outstanding under this credit facility at March 31, 2013 totaled $202.5 million. These borrowings carried a weighted average interest rate of 2.6%, including the effect of the interest rate swaps described below in Note 9 “Derivative Instruments and Hedging Activity.” Borrowings outstanding at December 31, 2012 were $192.5 million and carried a weighted average interest rate of 2.5%. Effective March 31, 2013, we have classified as current liabilities, the scheduled quarterly principal payments due under the Term Loan within twelve months of the balance sheet date, as we intend to make these payments with cash from operations rather than from availability under the Revolver.</w:t>
      </w:r>
    </w:p>
    <w:p>
      <w:pPr>
        <w:spacing w:after="0" w:line="193"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96"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We did not incur restructuring charge expense during the first quarter of 2013. As of March 31, 2013, our restructuring charge liability is $1.0 million, and primarily consists of the present value of remaining lease payments, net of estimated sublease income, for our vacated office spaces in San Francisco and Washington, D.C. The restructuring charge liability is included as a component of Accrued expenses and Deferred compensation and other liabilities.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quarter of 2012, we incurred a $0.8 million pre-tax restructuring charge, primarily consisting of accelerated depreciation on leasehold improvements related to the anticipated relocation of one of our New York City office locations, which we relocated during the fourth quarter of 2012. We did not incur a lease charge related to the relocation of our New York City office space as income from our subtenant is expected to more than offset our remaining lease obligations through 2016, net of our deferred lease liability.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March 20, 2009, we entered into an interest rate swap agreement for a notional amount of $100.0 million effective on March 31, 2009 and ending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2012. We entered into this derivative instrument to hedge against the risk of changes in future cash flows related to changes in interest rates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of the total variable-rate borrowings outstanding described above in Note 7 “Borrowings.” Under the terms of the interest rate swap agreement, we</w:t>
      </w:r>
    </w:p>
    <w:p>
      <w:pPr>
        <w:spacing w:after="0" w:line="32"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received from the counterparty interest on the $100.0 million notional amount based on one-month LIBOR and we paid to the counterparty a fixed rate of 1.715%. This swap effectively converted $100.0 million of our variable-rate borrowings to fixed-rate borrowings beginning on March 31, 2009 and through February 23, 2012.</w:t>
      </w:r>
    </w:p>
    <w:p>
      <w:pPr>
        <w:spacing w:after="0" w:line="14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1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1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FASB 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March 31, 2013, it was anticipated that $0.3 million of the net losses, net of tax, currently recorded in OCI will be reclassified into earnings within the next 12 months. Our interest rate swap agreements were effective during the three months ended March 31, 2013.</w:t>
      </w:r>
    </w:p>
    <w:p>
      <w:pPr>
        <w:spacing w:after="0" w:line="1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tables below set forth additional information relating to these interest rate swaps designated as cash flow hedging instruments as of March 31, 2013 and December 31,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ind w:left="260"/>
              <w:spacing w:after="0"/>
              <w:rPr>
                <w:sz w:val="20"/>
                <w:szCs w:val="20"/>
                <w:color w:val="auto"/>
              </w:rPr>
            </w:pPr>
            <w:r>
              <w:rPr>
                <w:rFonts w:ascii="Arial" w:cs="Arial" w:eastAsia="Arial" w:hAnsi="Arial"/>
                <w:sz w:val="14"/>
                <w:szCs w:val="14"/>
                <w:b w:val="1"/>
                <w:bCs w:val="1"/>
                <w:color w:val="auto"/>
              </w:rPr>
              <w:t>Fair Value (Derivative Liability)</w:t>
            </w:r>
          </w:p>
        </w:tc>
        <w:tc>
          <w:tcPr>
            <w:tcW w:w="0" w:type="dxa"/>
            <w:vAlign w:val="bottom"/>
          </w:tcPr>
          <w:p>
            <w:pPr>
              <w:spacing w:after="0"/>
              <w:rPr>
                <w:sz w:val="1"/>
                <w:szCs w:val="1"/>
                <w:color w:val="auto"/>
              </w:rPr>
            </w:pPr>
          </w:p>
        </w:tc>
      </w:tr>
      <w:tr>
        <w:trPr>
          <w:trHeight w:val="129"/>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88"/>
              </w:rPr>
              <w:t>Balance Sheet Location</w:t>
            </w:r>
          </w:p>
        </w:tc>
        <w:tc>
          <w:tcPr>
            <w:tcW w:w="7240" w:type="dxa"/>
            <w:vAlign w:val="bottom"/>
            <w:vMerge w:val="restart"/>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20" w:type="dxa"/>
            <w:vAlign w:val="bottom"/>
            <w:tcBorders>
              <w:bottom w:val="single" w:sz="8" w:color="auto"/>
            </w:tcBorders>
            <w:vMerge w:val="continue"/>
          </w:tcPr>
          <w:p>
            <w:pPr>
              <w:spacing w:after="0"/>
              <w:rPr>
                <w:sz w:val="14"/>
                <w:szCs w:val="14"/>
                <w:color w:val="auto"/>
              </w:rPr>
            </w:pPr>
          </w:p>
        </w:tc>
        <w:tc>
          <w:tcPr>
            <w:tcW w:w="7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42"/>
              <w:spacing w:after="0" w:line="148" w:lineRule="exact"/>
              <w:rPr>
                <w:sz w:val="20"/>
                <w:szCs w:val="20"/>
                <w:color w:val="auto"/>
              </w:rPr>
            </w:pPr>
            <w:r>
              <w:rPr>
                <w:rFonts w:ascii="Arial" w:cs="Arial" w:eastAsia="Arial" w:hAnsi="Arial"/>
                <w:sz w:val="14"/>
                <w:szCs w:val="14"/>
                <w:b w:val="1"/>
                <w:bCs w:val="1"/>
                <w:color w:val="auto"/>
              </w:rPr>
              <w:t>2013</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2"/>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455</w:t>
            </w:r>
          </w:p>
        </w:tc>
        <w:tc>
          <w:tcPr>
            <w:tcW w:w="1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Deferred compensation and 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do not use derivative instruments for trading or other speculative purposes, and we did not have any other derivative instruments or hedging activities as of March 31, 2013. Refer to Note 11 “Other Comprehensive (Loss) Income” for additional information on our derivative instruments.</w:t>
      </w:r>
    </w:p>
    <w:p>
      <w:pPr>
        <w:spacing w:after="0" w:line="8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On April 4, 2013, we entered into a one-year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throughout the term. Under the terms of the interest rate swap agreement, we will receive from the counterparty interest on the notional amount based on one-month LIBOR and we will pay to the counterparty a fixed rate of 0.985%.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Certain of our assets and liabilities are measured at fair value. FASB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459" w:right="23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Quoted prices in active markets for identical assets or liabilities that the reporting entity has the ability to access at the measurement date.</w:t>
      </w:r>
    </w:p>
    <w:p>
      <w:pPr>
        <w:spacing w:after="0" w:line="151" w:lineRule="exact"/>
        <w:rPr>
          <w:sz w:val="20"/>
          <w:szCs w:val="20"/>
          <w:color w:val="auto"/>
        </w:rPr>
      </w:pPr>
    </w:p>
    <w:p>
      <w:pPr>
        <w:sectPr>
          <w:pgSz w:w="11900" w:h="16838" w:orient="portrait"/>
          <w:cols w:equalWidth="0" w:num="2">
            <w:col w:w="1020" w:space="440"/>
            <w:col w:w="99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86" w:lineRule="exact"/>
        <w:rPr>
          <w:sz w:val="20"/>
          <w:szCs w:val="20"/>
          <w:color w:val="auto"/>
        </w:rPr>
      </w:pPr>
    </w:p>
    <w:p>
      <w:pPr>
        <w:sectPr>
          <w:pgSz w:w="11900" w:h="16838" w:orient="portrait"/>
          <w:cols w:equalWidth="0" w:num="2">
            <w:col w:w="1020" w:space="440"/>
            <w:col w:w="99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194" w:lineRule="exact"/>
        <w:rPr>
          <w:sz w:val="20"/>
          <w:szCs w:val="20"/>
          <w:color w:val="auto"/>
        </w:rPr>
      </w:pPr>
    </w:p>
    <w:p>
      <w:pPr>
        <w:sectPr>
          <w:pgSz w:w="11900" w:h="16838" w:orient="portrait"/>
          <w:cols w:equalWidth="0" w:num="2">
            <w:col w:w="1020" w:space="440"/>
            <w:col w:w="9960"/>
          </w:cols>
          <w:pgMar w:left="240" w:top="459" w:right="239" w:bottom="1440" w:gutter="0" w:footer="0" w:header="0"/>
          <w:type w:val="continuous"/>
        </w:sectPr>
      </w:pPr>
    </w:p>
    <w:p>
      <w:pPr>
        <w:ind w:right="120"/>
        <w:spacing w:after="0" w:line="298"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7 “Borrowings.”</w:t>
      </w:r>
    </w:p>
    <w:p>
      <w:pPr>
        <w:spacing w:after="0" w:line="11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2013 and December 31,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w:t>
            </w:r>
          </w:p>
        </w:tc>
        <w:tc>
          <w:tcPr>
            <w:tcW w:w="6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Significant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in Active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3"/>
              </w:rPr>
              <w:t>Significant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6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Inputs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(Level 1)</w:t>
            </w:r>
          </w:p>
        </w:tc>
        <w:tc>
          <w:tcPr>
            <w:tcW w:w="6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78"/>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March 31, 2013</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212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12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820</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Deferred acquisition payments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10,542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12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820</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11,362</w:t>
            </w:r>
          </w:p>
        </w:tc>
        <w:tc>
          <w:tcPr>
            <w:tcW w:w="100" w:type="dxa"/>
            <w:vAlign w:val="bottom"/>
            <w:shd w:val="clear" w:color="auto" w:fill="CCEEFF"/>
          </w:tcPr>
          <w:p>
            <w:pPr>
              <w:spacing w:after="0"/>
              <w:rPr>
                <w:sz w:val="18"/>
                <w:szCs w:val="18"/>
                <w:color w:val="auto"/>
              </w:rPr>
            </w:pPr>
          </w:p>
        </w:tc>
      </w:tr>
      <w:tr>
        <w:trPr>
          <w:trHeight w:val="221"/>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December 31, 2012</w:t>
            </w: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Promissory note</w:t>
            </w:r>
          </w:p>
        </w:tc>
        <w:tc>
          <w:tcPr>
            <w:tcW w:w="2120" w:type="dxa"/>
            <w:vAlign w:val="bottom"/>
            <w:gridSpan w:val="2"/>
          </w:tcPr>
          <w:p>
            <w:pPr>
              <w:ind w:left="202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2,907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rate swaps</w:t>
            </w:r>
          </w:p>
        </w:tc>
        <w:tc>
          <w:tcPr>
            <w:tcW w:w="2120" w:type="dxa"/>
            <w:vAlign w:val="bottom"/>
            <w:gridSpan w:val="2"/>
          </w:tcPr>
          <w:p>
            <w:pPr>
              <w:ind w:left="202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932</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payments</w:t>
            </w:r>
          </w:p>
        </w:tc>
        <w:tc>
          <w:tcPr>
            <w:tcW w:w="2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10,525</w:t>
            </w:r>
          </w:p>
        </w:tc>
        <w:tc>
          <w:tcPr>
            <w:tcW w:w="100" w:type="dxa"/>
            <w:vAlign w:val="bottom"/>
            <w:shd w:val="clear" w:color="auto" w:fill="CCEEFF"/>
          </w:tcPr>
          <w:p>
            <w:pPr>
              <w:spacing w:after="0"/>
              <w:rPr>
                <w:sz w:val="18"/>
                <w:szCs w:val="18"/>
                <w:color w:val="auto"/>
              </w:rPr>
            </w:pPr>
          </w:p>
        </w:tc>
      </w:tr>
      <w:tr>
        <w:trPr>
          <w:trHeight w:val="221"/>
        </w:trPr>
        <w:tc>
          <w:tcPr>
            <w:tcW w:w="3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120" w:type="dxa"/>
            <w:vAlign w:val="bottom"/>
            <w:gridSpan w:val="2"/>
          </w:tcPr>
          <w:p>
            <w:pPr>
              <w:ind w:left="202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932</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10,525</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11,457</w:t>
            </w:r>
          </w:p>
        </w:tc>
        <w:tc>
          <w:tcPr>
            <w:tcW w:w="10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20" w:type="dxa"/>
            <w:vAlign w:val="bottom"/>
          </w:tcPr>
          <w:p>
            <w:pPr>
              <w:ind w:left="150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part of the consideration received for the sale of our AA practice on December 30, 2011, the Company received a $3.5 million promissory note payable over four years. The note will be paid to the Company in quarterly installments of approximately $0.2 million beginning in the second quarter of 2013 with a final payment of approximately $1.1 million on the maturity date in December 2015. The fair value of the note is based on the net present value of the projected cash flows using a discount rate of 14%, which accounts for the risks associated with the note. The increase in the fair value of the note during the first three months of 2013 reflects the accretion of interest income in excess of interest payments received.</w:t>
      </w:r>
    </w:p>
    <w:p>
      <w:pPr>
        <w:spacing w:after="0" w:line="1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fair value of the interest rate swaps was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Deferred acquisition payments are included in the total purchase consideration for certain business acquisitions the Company has completed, and represent fixed future payments owed to the sellers of those businesses. The fair value of the deferred acquisition payments is based on the payment terms, which range from 1 to 2 years, and the net present value of expected cash flows using a discount rate ranging from 4% to 8%. The increase in the fair value of the deferred acquisition payments during the first three months of 2013 reflects the accretion of interest expense in excess of interest payments made.</w:t>
      </w:r>
    </w:p>
    <w:p>
      <w:pPr>
        <w:spacing w:after="0" w:line="188"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Income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components of other comprehensive (loss) income, net of tax, for the three months ended March 31, 2013 and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left="260"/>
              <w:spacing w:after="0"/>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6"/>
          </w:tcPr>
          <w:p>
            <w:pPr>
              <w:jc w:val="center"/>
              <w:ind w:left="280"/>
              <w:spacing w:after="0"/>
              <w:rPr>
                <w:sz w:val="20"/>
                <w:szCs w:val="20"/>
                <w:color w:val="auto"/>
              </w:rPr>
            </w:pPr>
            <w:r>
              <w:rPr>
                <w:rFonts w:ascii="Arial" w:cs="Arial" w:eastAsia="Arial" w:hAnsi="Arial"/>
                <w:sz w:val="14"/>
                <w:szCs w:val="14"/>
                <w:b w:val="1"/>
                <w:bCs w:val="1"/>
                <w:color w:val="auto"/>
                <w:w w:val="88"/>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0"/>
              </w:rPr>
              <w:t>March 31, 2013</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March 31, 2012</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9"/>
              </w:rPr>
              <w:t>Tax</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0"/>
              </w:rPr>
              <w:t>Tax</w:t>
            </w: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Before</w:t>
            </w:r>
          </w:p>
        </w:tc>
        <w:tc>
          <w:tcPr>
            <w:tcW w:w="2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Net of</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Before</w:t>
            </w:r>
          </w:p>
        </w:tc>
        <w:tc>
          <w:tcPr>
            <w:tcW w:w="22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(Expense)</w:t>
            </w:r>
          </w:p>
        </w:tc>
        <w:tc>
          <w:tcPr>
            <w:tcW w:w="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Taxes</w:t>
            </w:r>
          </w:p>
        </w:tc>
        <w:tc>
          <w:tcPr>
            <w:tcW w:w="24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Benefit</w:t>
            </w:r>
          </w:p>
        </w:tc>
        <w:tc>
          <w:tcPr>
            <w:tcW w:w="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Taxes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Taxes</w:t>
            </w:r>
          </w:p>
        </w:tc>
        <w:tc>
          <w:tcPr>
            <w:tcW w:w="22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Benefit</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 income:</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(1,048)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$(997)</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$ 353</w:t>
            </w: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cash flow hedges: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860"/>
              <w:spacing w:after="0"/>
              <w:rPr>
                <w:sz w:val="20"/>
                <w:szCs w:val="20"/>
                <w:color w:val="auto"/>
              </w:rPr>
            </w:pPr>
            <w:r>
              <w:rPr>
                <w:rFonts w:ascii="Arial" w:cs="Arial" w:eastAsia="Arial" w:hAnsi="Arial"/>
                <w:sz w:val="18"/>
                <w:szCs w:val="18"/>
                <w:color w:val="auto"/>
              </w:rPr>
              <w:t>Change in fair value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adjustments into earnings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420"/>
              <w:spacing w:after="0"/>
              <w:rPr>
                <w:sz w:val="20"/>
                <w:szCs w:val="20"/>
                <w:color w:val="auto"/>
              </w:rPr>
            </w:pPr>
            <w:r>
              <w:rPr>
                <w:rFonts w:ascii="Arial" w:cs="Arial" w:eastAsia="Arial" w:hAnsi="Arial"/>
                <w:sz w:val="18"/>
                <w:szCs w:val="18"/>
                <w:color w:val="auto"/>
              </w:rPr>
              <w:t>Net unrealized gain</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68</w:t>
            </w: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$ 434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Amounts reclassified from accumulated other comprehensive loss related to our cash flow hedges are recorded to Interest expense, net of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net of tax, includes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Foreign Currency</w:t>
            </w:r>
          </w:p>
        </w:tc>
        <w:tc>
          <w:tcPr>
            <w:tcW w:w="44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4"/>
                <w:szCs w:val="14"/>
                <w:b w:val="1"/>
                <w:bCs w:val="1"/>
                <w:color w:val="auto"/>
              </w:rPr>
              <w:t>Net Unrealized</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440" w:type="dxa"/>
            <w:vAlign w:val="bottom"/>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Gains/(Losses) on</w:t>
            </w: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Accumulated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Adjustments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90"/>
              </w:rPr>
              <w:t>Derivatives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2012</w:t>
            </w:r>
          </w:p>
        </w:tc>
        <w:tc>
          <w:tcPr>
            <w:tcW w:w="2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Current period change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(997)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(1,802)</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(486)</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80" w:type="dxa"/>
            <w:vAlign w:val="bottom"/>
            <w:vMerge w:val="restart"/>
          </w:tcPr>
          <w:p>
            <w:pPr>
              <w:jc w:val="right"/>
              <w:ind w:right="23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effective tax rates for the three months ended March 31, 2013 and 2012 were 41.7% and 72.1%, respectively. The effective tax rate in the first quarter of 2013 was slightly higher than the statutory rate, inclusive of state income taxes, due primarily to the impact of foreign losses with no tax benefit and certain non-deductible business expenses, partially offset by the impact of the retroactive reinstatement of the federal research and development tax credit, which was enacted during the quarter. The effective tax rate in the first quarter of 2012 was higher than the statutory rate, inclusive of state income taxes, due primarily to the impact of foreign losses with no tax benefit and certain non-deductible expenses. The foreign losses with no tax benefit and the non-deductible expenses had a larger impact on our effective tax rate in the first quarter of 2012 compared to 2013 due to the lower pretax income from continuing operations in the first quarter of 2012.</w:t>
      </w:r>
    </w:p>
    <w:p>
      <w:pPr>
        <w:spacing w:after="0" w:line="222" w:lineRule="exact"/>
        <w:rPr>
          <w:sz w:val="20"/>
          <w:szCs w:val="20"/>
          <w:color w:val="auto"/>
        </w:rPr>
      </w:pPr>
    </w:p>
    <w:p>
      <w:pPr>
        <w:ind w:right="7440" w:firstLine="8"/>
        <w:spacing w:after="0" w:line="347" w:lineRule="auto"/>
        <w:tabs>
          <w:tab w:leader="none" w:pos="52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relator’s second amended complaint in its entirety with prejudice. As a result, we reversed the charge of $1.2 million relating to settlement discussions which we recorded in the second quarter of 2012, in accordance with FASB ASC Topic 450, “Contingencies.” The relator filed an appeal on April 2, 2013. On April 8, 2013, Huron filed an appeal of an earlier denial of a motion to dismiss filed by Huron which argued that relator’s action was barred because, under the FCA jurisdictional bar, the action was based on publicly disclosed information and relator cannot qualify as an original source. We continue to believe that the claims are without merit and intend to vigorously defend ourselves in this matter.</w:t>
      </w:r>
    </w:p>
    <w:p>
      <w:pPr>
        <w:spacing w:after="0" w:line="12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Guarantees in the form of letters of credit totaling $5.1 million were outstanding at both March 31, 2013 and December 31, 2012 to support certain office lease obligations as well as Middle East performance and bid bonds.</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Segments are defined by FASB ASC Topic 280, “Segment Reporting,” as components of a company in which separate financial information is available and is evaluated regularly by the chief operating decision maker, or decision-making group, in deciding how to allocate resources and in assessing performance. In the first quarter of 2013, the Company reorganized its internal financial reporting structure. Under the new structure, the Company began reporting information as five operating segments: Huron Healthcare; Huron Legal; Huron Education and Life Sciences; Huron Financial; and All Other. Our chief operating decision maker manages the business under these five operating segments.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this new internal financial reporting structure, the former Health and Education Consulting segment became two separate segments: Huron Healthcare and Huron Education and Life Sciences. These practices continue to share a significant number of academic medical center clients and will continue to closely collaborate in the market. The Legal Consulting segment is now referred to as Huron Legal and the Financial Consulting segment is now referred to as Huron Financial. The structure of the Legal Consulting and Financial Consulting segments did not change. In addition, certain immaterial practices which were historically part of our Health and Education Consulting segment were combined and disclosed in our All Other segment. While our consolidated results have not been impacted, we have restated our historical segment information for consistent presentation.</w:t>
      </w:r>
    </w:p>
    <w:p>
      <w:pPr>
        <w:spacing w:after="0" w:line="3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96" w:lineRule="exact"/>
        <w:rPr>
          <w:sz w:val="20"/>
          <w:szCs w:val="20"/>
          <w:color w:val="auto"/>
        </w:rPr>
      </w:pPr>
    </w:p>
    <w:p>
      <w:pPr>
        <w:ind w:left="920" w:right="320"/>
        <w:spacing w:after="0" w:line="298" w:lineRule="auto"/>
        <w:rPr>
          <w:sz w:val="20"/>
          <w:szCs w:val="20"/>
          <w:color w:val="auto"/>
        </w:rPr>
      </w:pPr>
      <w:r>
        <w:rPr>
          <w:rFonts w:ascii="Arial" w:cs="Arial" w:eastAsia="Arial" w:hAnsi="Arial"/>
          <w:sz w:val="16"/>
          <w:szCs w:val="16"/>
          <w:color w:val="auto"/>
        </w:rPr>
        <w:t>Our Huron Healthcare segment provides consulting services to national and regional integrated health systems, physician practices, community hospitals, managed care organizations, and academic medical centers.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2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Huron Legal</w:t>
      </w:r>
    </w:p>
    <w:p>
      <w:pPr>
        <w:spacing w:after="0" w:line="9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Our Huron Legal segment provides advisory and business services to assist law departments of major global corporations and law firms with their strategy, organizational design and development, operational efficiency, and cost effectiveness. These results-driven services help reduce the amounts they spend on legal services and enhance client service. Our expertise focuses on strategic and management consulting, cost management, and technology and information management including matter management, records management, digital evidence, document review and discovery services.</w:t>
      </w:r>
    </w:p>
    <w:p>
      <w:pPr>
        <w:spacing w:after="0" w:line="5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96"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Our Huron Education and Life Science segment provides consulting services to universities, research institutions, healthcare organizations, academic medical centers, and pharmaceutical, medical device manufacturer and biotechnology companies. We develop and implement performance improvement, technology, and research enterprise solutions to help clients address challenges relating to financial management, strategy, operational and organizational effectiveness, research administration, and regulatory compliance.</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Huron Financial</w:t>
      </w:r>
    </w:p>
    <w:p>
      <w:pPr>
        <w:spacing w:after="0" w:line="96"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Our Huron Financial segment provides financial advisory, restructuring and turnaround, interim management, valuation, forensic and litigation, and operational improvement consulting services to companies in transition, boards of directors and investors and lenders. Our consultants provide senior level involvement and extensive industry experience to drive results. Our experienced leadership, management depth and flexible staffing model allow us to efficiently lead projects ranging from middle market to large company assignments. We draw on career experience gathered from operations, lending, investment banking, portfolio and asset management, public accounting, and management consulting to provide practical business solutions.</w:t>
      </w:r>
    </w:p>
    <w:p>
      <w:pPr>
        <w:spacing w:after="0" w:line="5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96"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Our All Other segment consists of any lines of business not managed by our other four operating segments. In 2013 and 2012, the All Other segment consisted of our foreign healthcare and strategic consulting operations based in the Middle East.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2013 and 2012, along with the items necessary to reconcile the segment information to the totals reported in the accompanying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Huron Healthcare:</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78,745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63,465</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15,838</w:t>
            </w: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Legal:</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40,944</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41,383</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9,511</w:t>
            </w: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Education and Life Sciences: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35,726</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27,676</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6,458</w:t>
            </w: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Financial:</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5,849</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Other:</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Segment operating loss as a percent of segment revenues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52"/>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164,036</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138,637</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15,336</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200" w:type="dxa"/>
            <w:vAlign w:val="bottom"/>
            <w:shd w:val="clear" w:color="auto" w:fill="CCEEFF"/>
          </w:tcPr>
          <w:p>
            <w:pPr>
              <w:spacing w:after="0"/>
              <w:rPr>
                <w:sz w:val="18"/>
                <w:szCs w:val="18"/>
                <w:color w:val="auto"/>
              </w:rPr>
            </w:pPr>
          </w:p>
        </w:tc>
      </w:tr>
      <w:tr>
        <w:trPr>
          <w:trHeight w:val="222"/>
        </w:trPr>
        <w:tc>
          <w:tcPr>
            <w:tcW w:w="6820" w:type="dxa"/>
            <w:vAlign w:val="bottom"/>
            <w:gridSpan w:val="3"/>
          </w:tcPr>
          <w:p>
            <w:pPr>
              <w:spacing w:after="0"/>
              <w:rPr>
                <w:sz w:val="20"/>
                <w:szCs w:val="20"/>
                <w:color w:val="auto"/>
              </w:rPr>
            </w:pPr>
            <w:r>
              <w:rPr>
                <w:rFonts w:ascii="Arial" w:cs="Arial" w:eastAsia="Arial" w:hAnsi="Arial"/>
                <w:sz w:val="18"/>
                <w:szCs w:val="18"/>
                <w:color w:val="auto"/>
              </w:rPr>
              <w:t>Total revenues and reimbursable expenses</w:t>
            </w:r>
          </w:p>
        </w:tc>
        <w:tc>
          <w:tcPr>
            <w:tcW w:w="2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179,372</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152,433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46,658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31,241</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20,536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22,951</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4,653</w:t>
            </w:r>
          </w:p>
        </w:tc>
      </w:tr>
      <w:tr>
        <w:trPr>
          <w:trHeight w:val="223"/>
        </w:trPr>
        <w:tc>
          <w:tcPr>
            <w:tcW w:w="20" w:type="dxa"/>
            <w:vAlign w:val="bottom"/>
          </w:tcPr>
          <w:p>
            <w:pPr>
              <w:spacing w:after="0"/>
              <w:rPr>
                <w:sz w:val="19"/>
                <w:szCs w:val="19"/>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rPr>
              <w:t>Other expense, net</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Huron Healthcare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78,050</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60,288</w:t>
            </w: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31,985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11"/>
                <w:szCs w:val="11"/>
                <w:color w:val="auto"/>
              </w:rPr>
              <w:t>(1)</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615,632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643,377</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776,075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787,900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Goodwill and intangible assets are included in unallocated assets, as management does not evaluate these items at the segment level when assessing segment performance or allocating resources.</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At both March 31, 2013 and December 31, 2012, no single client accounted for greater than 10% of our combined receivables and unbilled services balances. No single client generated greater than 10% of our consolidated revenues during the three months ended March 31, 2013 and 2012.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Statements in this Quarterly Report on Form 10-Q, including the information incorporated by reference herein,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“meets,” “could,” “intends,” “might,” “predicts,” “seeks,” “would,” “believes,” “estimates,” “plans” or “continues.” These forward-looking statements reflect our current expectation about our future requirements and needs, results, levels of activity, performance, or achievements, including, without limitation,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2012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a leading provider of operational and financial consulting services. We help clients in diverse industries improve performance, reduce costs, leverage technology, process and review large amounts of complex data, address regulatory changes, recover from distress and stimulate growth. Our professionals employ their expertise in administration, management, finance and operations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We have worked with more than 95 of the top 100 research universities, more than 400 corporate general counsel, and more than 385 hospitals and academic medical centers.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provide our services through five operating segments: Huron Healthcare, Huron Legal, Huron Education and Life Sciences, Huron Financial and All Other.</w:t>
      </w:r>
    </w:p>
    <w:p>
      <w:pPr>
        <w:spacing w:after="0" w:line="107"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96" w:lineRule="exact"/>
        <w:rPr>
          <w:sz w:val="20"/>
          <w:szCs w:val="20"/>
          <w:color w:val="auto"/>
        </w:rPr>
      </w:pPr>
    </w:p>
    <w:p>
      <w:pPr>
        <w:ind w:left="920" w:right="320"/>
        <w:spacing w:after="0" w:line="298" w:lineRule="auto"/>
        <w:rPr>
          <w:sz w:val="20"/>
          <w:szCs w:val="20"/>
          <w:color w:val="auto"/>
        </w:rPr>
      </w:pPr>
      <w:r>
        <w:rPr>
          <w:rFonts w:ascii="Arial" w:cs="Arial" w:eastAsia="Arial" w:hAnsi="Arial"/>
          <w:sz w:val="16"/>
          <w:szCs w:val="16"/>
          <w:color w:val="auto"/>
        </w:rPr>
        <w:t>Our Huron Healthcare segment provides consulting services to national and regional integrated health systems, physician practices, community hospitals, managed care organizations, and academic medical centers.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2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Huron Legal</w:t>
      </w:r>
    </w:p>
    <w:p>
      <w:pPr>
        <w:spacing w:after="0" w:line="9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Our Huron Legal segment provides advisory and business services to assist law departments of major global corporations and law firms with their strategy, organizational design and development, operational efficiency, and cost effectiveness. These results-driven services help reduce the amounts they spend on legal services and enhance client service. Our expertise focuses on strategic and management consulting, cost management, and technology and information management including matter management, records management, digital evidence, document review and discovery services.</w:t>
      </w:r>
    </w:p>
    <w:p>
      <w:pPr>
        <w:spacing w:after="0" w:line="5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Huron Education and Life Sciences</w:t>
      </w:r>
    </w:p>
    <w:p>
      <w:pPr>
        <w:spacing w:after="0" w:line="96" w:lineRule="exact"/>
        <w:rPr>
          <w:sz w:val="20"/>
          <w:szCs w:val="20"/>
          <w:color w:val="auto"/>
        </w:rPr>
      </w:pPr>
    </w:p>
    <w:p>
      <w:pPr>
        <w:ind w:left="920" w:right="40"/>
        <w:spacing w:after="0" w:line="298" w:lineRule="auto"/>
        <w:rPr>
          <w:sz w:val="20"/>
          <w:szCs w:val="20"/>
          <w:color w:val="auto"/>
        </w:rPr>
      </w:pPr>
      <w:r>
        <w:rPr>
          <w:rFonts w:ascii="Arial" w:cs="Arial" w:eastAsia="Arial" w:hAnsi="Arial"/>
          <w:sz w:val="16"/>
          <w:szCs w:val="16"/>
          <w:color w:val="auto"/>
        </w:rPr>
        <w:t>Our Huron Education and Life Sciences segment provides consulting services to universities, research institutions, healthcare organizations, academic medical centers, and pharmaceutical, medical device manufacturer and biotechnology companies. We develop and implement performance improvement, technology, and research enterprise solutions to help clients address challenges relating to financial management, strategy, operational and organizational effectiveness, research administration, and regulatory compliance.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Huron Financial</w:t>
      </w:r>
    </w:p>
    <w:p>
      <w:pPr>
        <w:spacing w:after="0" w:line="96"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Our Huron Financial segment provides financial advisory, restructuring and turnaround, interim management, valuation, forensic and litigation, and operational improvement consulting services to companies in transition, boards of directors and investors and lenders. Our consultants provide senior level involvement and extensive industry experience to drive results. Our experienced leadership, management depth and flexible staffing model allow us to efficiently lead projects ranging from middle market to large company assignments. We draw on career experience gathered from operations, lending, investment banking, portfolio and asset management, public accounting, and management consulting to provide practical business solutions.</w:t>
      </w:r>
    </w:p>
    <w:p>
      <w:pPr>
        <w:spacing w:after="0" w:line="5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96"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Our All Other segment consists of any lines of business not managed by our other four operating segments. In 2013 and 2012, the All Other segment consisted of our foreign healthcare and strategic consulting operations based in the Middle East.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44.9% and 46.7% of our revenues in the three months ended March 31, 2013 and 2012, respectively.</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which may include the deployment of our proprietary software.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our estimates of work completed to-date versus the total services to be provided under the engagement.</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also generate revenues from licensing two types of proprietary software to clients. Licenses for our revenue cycle management software are sold only as a component of our consulting projects and the services we provide are essential to the functionality of the software. Therefore, revenues from the revenue cycle management software licenses are recognized over the term of the related consulting services contract in accordance with FASB ASC Topic 605-35. License revenue from our research administration and compliance software is recognized in accordance with FASB ASC Topic 985-605, generally in the month in which the software is delivered.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three months ended March 31, 2013 and 2012, fixed-fee engagements (including software license revenue) represented approximately 40.3% and 38.5%, respectively, of our revenues.</w:t>
      </w:r>
    </w:p>
    <w:p>
      <w:pPr>
        <w:spacing w:after="0" w:line="132"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11.5% and 11.2% of our revenues in the three months ended March 31, 2013 and 2012, respectively. Performance-based fee engagements may cause significant variations in quarterly revenues and operating results depending on the timing of achievement of the performance-based criteria.</w:t>
      </w:r>
    </w:p>
    <w:p>
      <w:pPr>
        <w:spacing w:after="0" w:line="105"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3.3% and 3.6% of our revenues in the three months ended March 31, 2013 and 2012, respectively.</w:t>
      </w:r>
    </w:p>
    <w:p>
      <w:pPr>
        <w:spacing w:after="0" w:line="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quarterly results are impacted principally by our full-time consultants’ utilization rate, the billing rate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have entered into select acquisitions of complementary businesses and continue to hire highly qualified professionals.</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2012. Below is an update to our critical accounting policy relating to the carrying values of goodwill and other intangible assets. There have been no material changes to our other critical accounting policies during the first three months of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 and reporting units.</w:t>
      </w:r>
    </w:p>
    <w:p>
      <w:pPr>
        <w:spacing w:after="0" w:line="14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accordance with ASC 350, “Intangibles – Goodwill and Other”,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conjunction with the goodwill reassignment, we performed the first step of the goodwill impairment test for the goodwill balances within our Huron Healthcare and Huron Education and Life Sciences reporting units as of January 2, 2013. Based on the result of the first step of the goodwill impairment test, we determined that the fair values of our Huron Healthcare and Huron Education and Life Sciences reporting units exceeded their carrying values. Since the fair values of both reporting units exceeded their carrying values, the second step of the goodwill impairment test was not necessary.</w:t>
      </w:r>
    </w:p>
    <w:p>
      <w:pPr>
        <w:spacing w:after="0" w:line="11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estimating the fair value of our Huron Healthcare and Huron Education and Life Sciences reporting units,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our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six-year forecast. For periods after the six-year forecast, we assumed a 3.5% long-term annual revenue growth rate. Our forecast is based on our historical experience, current backlog, expected market demand, and other industry information. Our discounted cash flow analysis assumed a 13% weighted average cost of capital (“WACC”) discount rate for each reporting unit.</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adjusted for factors similar to those used in a discounted cash flow analysis and applied to the operating data for our reporting units to arrive at an indication of value.</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See Note 4 “Discontinued Operations” of this Quarterly Report on Form 10-Q for information related to our discontinued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and Consolidated Operating Results</w:t>
            </w:r>
          </w:p>
        </w:tc>
        <w:tc>
          <w:tcPr>
            <w:tcW w:w="3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(in thousands):</w:t>
            </w:r>
          </w:p>
        </w:tc>
        <w:tc>
          <w:tcPr>
            <w:tcW w:w="4200" w:type="dxa"/>
            <w:vAlign w:val="bottom"/>
            <w:tcBorders>
              <w:bottom w:val="single" w:sz="8" w:color="CCEEFF"/>
            </w:tcBorders>
            <w:gridSpan w:val="2"/>
            <w:shd w:val="clear" w:color="auto" w:fill="CCEEFF"/>
          </w:tcPr>
          <w:p>
            <w:pPr>
              <w:spacing w:after="0"/>
              <w:rPr>
                <w:sz w:val="17"/>
                <w:szCs w:val="17"/>
                <w:color w:val="auto"/>
              </w:rPr>
            </w:pPr>
          </w:p>
        </w:tc>
        <w:tc>
          <w:tcPr>
            <w:tcW w:w="3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78,745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Huron Legal</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40,944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35,726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Huron Financial</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 revenues</w:t>
            </w:r>
          </w:p>
        </w:tc>
        <w:tc>
          <w:tcPr>
            <w:tcW w:w="3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gridSpan w:val="3"/>
            <w:vMerge w:val="continue"/>
          </w:tcPr>
          <w:p>
            <w:pPr>
              <w:spacing w:after="0"/>
              <w:rPr>
                <w:sz w:val="19"/>
                <w:szCs w:val="19"/>
                <w:color w:val="auto"/>
              </w:rPr>
            </w:pP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w w:val="86"/>
              </w:rPr>
              <w:t>164,036</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138,637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reimbursable expenses</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15,336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13,796</w:t>
            </w:r>
          </w:p>
        </w:tc>
        <w:tc>
          <w:tcPr>
            <w:tcW w:w="0" w:type="dxa"/>
            <w:vAlign w:val="bottom"/>
          </w:tcPr>
          <w:p>
            <w:pPr>
              <w:spacing w:after="0"/>
              <w:rPr>
                <w:sz w:val="1"/>
                <w:szCs w:val="1"/>
                <w:color w:val="auto"/>
              </w:rPr>
            </w:pPr>
          </w:p>
        </w:tc>
      </w:tr>
      <w:tr>
        <w:trPr>
          <w:trHeight w:val="20"/>
        </w:trPr>
        <w:tc>
          <w:tcPr>
            <w:tcW w:w="5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3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4"/>
            <w:vMerge w:val="continue"/>
          </w:tcPr>
          <w:p>
            <w:pPr>
              <w:spacing w:after="0"/>
              <w:rPr>
                <w:sz w:val="19"/>
                <w:szCs w:val="19"/>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w w:val="86"/>
              </w:rPr>
              <w:t>179,372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152,433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31,161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9,352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All Other</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1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segment operating income</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46,658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Operating expenses not allocated to segments</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25,315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21,343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0"/>
        </w:trPr>
        <w:tc>
          <w:tcPr>
            <w:tcW w:w="5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Other Operating Data (excluding All Other):</w:t>
            </w:r>
          </w:p>
        </w:tc>
        <w:tc>
          <w:tcPr>
            <w:tcW w:w="3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40" w:type="dxa"/>
            <w:vAlign w:val="bottom"/>
            <w:gridSpan w:val="4"/>
            <w:vMerge w:val="continue"/>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gridSpan w:val="3"/>
            <w:vMerge w:val="restart"/>
          </w:tcPr>
          <w:p>
            <w:pPr>
              <w:ind w:left="4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3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gridSpan w:val="3"/>
            <w:vMerge w:val="continue"/>
          </w:tcPr>
          <w:p>
            <w:pPr>
              <w:spacing w:after="0"/>
              <w:rPr>
                <w:sz w:val="19"/>
                <w:szCs w:val="19"/>
                <w:color w:val="auto"/>
              </w:rPr>
            </w:pP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3"/>
              </w:rPr>
              <w:t xml:space="preserve">Average number of full-time billable consultants (for the period) </w:t>
            </w:r>
            <w:r>
              <w:rPr>
                <w:rFonts w:ascii="Arial" w:cs="Arial" w:eastAsia="Arial" w:hAnsi="Arial"/>
                <w:sz w:val="11"/>
                <w:szCs w:val="11"/>
                <w:b w:val="1"/>
                <w:bCs w:val="1"/>
                <w:color w:val="auto"/>
                <w:w w:val="93"/>
              </w:rPr>
              <w:t>(1)</w:t>
            </w:r>
            <w:r>
              <w:rPr>
                <w:rFonts w:ascii="Arial" w:cs="Arial" w:eastAsia="Arial" w:hAnsi="Arial"/>
                <w:sz w:val="18"/>
                <w:szCs w:val="18"/>
                <w:b w:val="1"/>
                <w:bCs w:val="1"/>
                <w:color w:val="auto"/>
                <w:w w:val="93"/>
              </w:rPr>
              <w:t>:</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gridSpan w:val="3"/>
            <w:vMerge w:val="restart"/>
          </w:tcPr>
          <w:p>
            <w:pPr>
              <w:ind w:left="4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3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gridSpan w:val="3"/>
            <w:vMerge w:val="continue"/>
          </w:tcPr>
          <w:p>
            <w:pPr>
              <w:spacing w:after="0"/>
              <w:rPr>
                <w:sz w:val="19"/>
                <w:szCs w:val="19"/>
                <w:color w:val="auto"/>
              </w:rPr>
            </w:pP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3"/>
          </w:tcPr>
          <w:p>
            <w:pPr>
              <w:ind w:left="4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900" w:type="dxa"/>
            <w:vAlign w:val="bottom"/>
          </w:tcPr>
          <w:p>
            <w:pPr>
              <w:jc w:val="right"/>
              <w:ind w:right="335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2013</w:t>
            </w: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9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Other Operating Data (Continued):</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15"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right="1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January 1, 2013, a group within the Huron Healthcare segment that provides post-implementation services that was previously classified as full-time equivalents will be classified as full-time billable consultants due to the evolving nature of the services that they offer. Prior periods have been restated to reflect this change.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also assess our results of operations using certain non-GAAP financial measures. These non-GAAP financial measures differ from GAAP because the non-GAAP financial measures we calculate to measure adjusted EBITDA, adjusted net income from continuing operations and adjusted diluted earnings per share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164,036</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138,637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11,369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Restatement related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gain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22,164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Add back: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Restatement related expenses</w:t>
            </w: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Litigation settlement gain</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effect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adjustments, net of tax</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have incurred significant expenses related to our 2009 financial statement restatement. We have excluded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restatement related expenses from our non-GAAP measures as a means to provide comparability with periods that were not impacted by the restatement related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the restructuring of various parts of our business. These restructuring charges have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severance charges, costs associated with office space reductions including the accelerated depreciation of certain leasehold improvements, and the write-off of certain impaired intangible assets.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Litigation settlement gain: </w:t>
      </w:r>
      <w:r>
        <w:rPr>
          <w:rFonts w:ascii="Arial" w:cs="Arial" w:eastAsia="Arial" w:hAnsi="Arial"/>
          <w:sz w:val="18"/>
          <w:szCs w:val="18"/>
          <w:color w:val="auto"/>
        </w:rPr>
        <w:t>We have excluded the effects of the litigation settlement gain because its exclusion permits comparability with periods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not impacted by these charges.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We have excluded the effect of amortization of intangible assets from the non-GAAP measures presented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is inconsistent in its amount and frequency and is significantly affected by the timing and size of our acquisitions.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depreciation and amortization in the calculation of EBITDA as these are customary exclusions as defined by the calculation of EBITDA to arrive at meaningful earnings from core operations excluding the effect of such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Compared to Three Months Ended March 31,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$25.4 million, or 18.3%, to $164.0 million for the first quarter of 2013 from $138.6 million for the first quarter of 2012.</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overall increase was attributable to a $22.6 million increase in revenue from our full-time billable consultants and a $2.8 million increase in revenue from our full-time equivalents. The increase in full-time billable consultant revenues was driven by increases in the average number of billable consultants, our average billing rate and our consultant utilization rate. The increase primarily reflected strengthened demand for our services in the Huron Healthcare, Huron Education and Life Sciences and Huron Financial segments, partially offset by a decrease in demand for our services in the Huron Legal segment. The increase in full-time equivalent revenue was primarily attributable to an increase in the average number of full-time equivalents, partially offset by a decrease in revenues per full-time equivalent. Revenue attributable to full-time equivalents primarily reflected increased use of contractors in the Huron Education and Life Sciences and Huron Healthcare segments and increased demand for our document review and discovery services in the Huron Legal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total direct costs increased $8.9 million, or 9.1%, to $106.8 million in the three months ended March 31, 2013 from $97.9 million in the three months ended March 31, 2012. The increase was primarily related to a $10.7 million increase in salaries, bonuses and related expenses for our revenue-generating professionals, partially offset by a $1.0 million decrease in contractor expense, a $0.5 million decrease in intangible asset amortization expense and a $0.3 million decrease in technology expense. As a percentage of revenues, our total direct costs decreased to 65.1% during the first quarter of 2013 compared to 70.6% during the first quarter of 2012. This primarily reflected the decrease in contractor expense and revenue growth that outpaced the increase in salaries, bonuses and related expenses for our revenue-generating professionals during the first quarter of 2013.</w:t>
      </w:r>
    </w:p>
    <w:p>
      <w:pPr>
        <w:spacing w:after="0" w:line="12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Total direct costs for the three months ended March 31, 2013 included $3.6 million of share-based compensation expense and $0.7 million of amortization expense for intangible assets and software development costs, primarily representing customer-related assets and software acquired in business combinations. Total direct costs for the three months ended March 31, 2012 included $3.8 million of share-based compensation expense and $1.1 million of intangible asset amortization expense. The decrease in intangible asset amortization is primarily attributable to certain intangible assets that became fully amortized during the third quarter of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Selling, general and administrative expenses increased $2.2 million, or 7.3%, to $32.3 million in the first quarter of 2013 from $30.1 million in the first quarter of 2012. This increase was primarily related to a $2.1 million increase in salaries, bonuses and related expenses for our support personnel. As a percentage of revenues, selling, general and administrative expenses decreased to 19.7% during the first quarter of 2013 compared to 21.7% during the first quarter of 2012. This decrease reflected flat non-personnel related costs while revenue increased during the first quarter of 2013.</w:t>
      </w:r>
    </w:p>
    <w:p>
      <w:pPr>
        <w:spacing w:after="0" w:line="1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did not incur restructuring or restatement related expenses during the first three months of 2013. During the first three months of 2012 we incurred $0.8 million of restructuring expense and $1.5 million of restatement related expenses.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recorded a $1.2 million litigation settlement gain during the first quarter of 2013. During the second quarter of 2012, we conducted preliminary settlement discussions with the relator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discussed in “Legal Proceedings” and in Note 13 “Commitments, Contingencies and Guarantees”, and as a result we recorded a charge of $1.2 million, in accordance with FASB ASC Topic 450, “Contingencies.” On March 8, 2013, the Court granted Huron’s motion for summary judgment and dismissed relator’s second amended complaint in its entirety with prejudice. As a result, we reversed the charge of $1.2 million taken during 2012.</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Depreciation and amortization expense increased by $0.1 million to $4.8 million in the three months ended March 31, 2013 from $4.7 million in the three months ended March 31, 2012. Non-direct intangible asset amortization relates to non-competition agreements, trade names and certain customer relationships acquired in connection with our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Operating income increased $17.7 million to $21.3 million in the first quarter of 2013 from $3.6 million in the first quarter of 2012. Operating margin, which is defined as operating income expressed as a percentage of revenues, increased to 13.0% in the three months ended March 31, 2013 compared to 2.6% in the three months ended March 31, 2012. This increase is primarily attributable to the decreases in contractor expense, technology expense, restatement related expenses and restructuring expense, as well as the decrease in salaries, bonuses and related expenses for our revenue-generating professionals and non-personnel related selling, general and administrative expenses as a percentage of revenues. The operating margin in the first quarter of 2013 was also positively impacted by the litigation settlement gain in the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expense, net increased by $0.4 million to $1.9 million in the first quarter of 2013 from $1.5 million in the first quarter of 2012. Interest expense was $1.9 million in both 2013 and 2012. The increase in other income, net was the result of improved performance of the investments used to fund our deferred compensation liability.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the first quarter of 2013, we recognized income tax expense from continuing operations of $8.1 million on income from continuing operations of $19.5 million. For the first quarter of 2012, we recognized income tax expense from continuing operations of $1.5 million on income from continuing operations of $2.1 million. Our effective tax rate for the first quarter of 2013 was 41.7% compared with 72.1% in 2012. The effective tax rate in the first quarter of 2013 was slightly higher than the statutory rate, inclusive of state income taxes, due primarily to the impact of foreign losses with no tax benefit and certain non-deductible business expenses, partially offset by the impact of the retroactive reinstatement of the federal research and development tax credit, which was enacted during the quarter. The effective benefit rate in the first quarter of 2012 was higher than the statutory rate, inclusive of state income taxes, due primarily to the impact of foreign losses with no tax benefit and certain non-deductible business expenses. The foreign losses with no tax benefit and the non-deductible expenses had a larger impact on our effective tax rate in the first quarter of 2012 compared to 2013 due to the lower pretax income from continuing operations in the first quarter of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Net income from continuing operations was $11.4 million for the three months ended March 31, 2013 compared to net income from continuing operations of $0.6 million for the same period last year. The increase in net income from continuing operations was primarily due to the increase in operating income, as discussed above, partially offset by the corresponding increase in income tax expense and the slight increase in other expense, net. As a result of the increase in net income from continuing operations, diluted earnings per share from continuing operations for the first quarter of 2013 was $0.51 compared to diluted earnings per share from continuing operations of $0.03 for the first quarter of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loss from discontinued operations was less than $0.1 million in the first quarter of 2013, compared to net income from discontinued operations of $0.3 million in the first quarter of 2012. See Note 4 “Discontinued Operations” of this Quarterly Report on Form 10-Q for further information about our discontinued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EBITDA increased $17.4 million to $26.8 million for the three months ended March 31, 2013 from $9.4 million for the three months ended March 31, 2012. Adjusted EBITDA increased $13.8 million to $25.6 million in the first quarter of 2013 from $11.8 million in the first quarter of 2012. The increases in both EBITDA and Adjusted EBITDA were primarily driven by the increases in segment operating income of our Huron Healthcare, Huron Education and Life Sciences and Huron Financial segments, partially offset by the decrease in segment operating income of our Huron Legal segment, as discussed below in Segment Results. The increase in EBITDA outpaced the increase in Adjusted EBITDA due to the decreases in restatement related expenses and restructuring expense, as well as the litigation settlement gain, all of which are excluded from the computation of Adjusted EBITDA.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Adjusted net income from continuing operations was $11.6 million in the first quarter of 2013 compared to $3.0 million in the first quarter of 2012. The increase was primarily attributable to the increase in net income from continuing operations, partially offset by the decreases in restatement related expenses and restructuring expense, as well as the litigation settlement gain, all of which are excluded from the computation of adjusted net income from continuing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Huron Healthcare segment revenues increased $15.2 million, or 24.1%, to $78.7 million for the first quarter of 2013 from $63.5 million for the first quarter of 2012. Revenues from time-and-expense engagements, fixed-fee engagements, performance-based arrangements and software support and maintenance arrangements represented 1.2%, 70.5%, 23.4% and 4.9% of this segment’s revenues during the three months ended March 31, 2013, respectively, compared to 1.5%, 68.0%, 24.5% and 6.0%, respectively, for the comparable period in 2012.</w:t>
      </w:r>
    </w:p>
    <w:p>
      <w:pPr>
        <w:spacing w:after="0" w:line="14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Of the overall $15.2 million increase in revenues, $15.0 million was attributable to our full-time billable consultants. The increase in demand for our services reflected the increased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average billing rate and consultant utilization rate. Performance-based fee revenues were $18.4 million during the first quarter of 2013 compared to $15.5 million during the first quarter of 2012. Performance-based fee engagements may cause significant variations in quarterly revenues, operating results and average billing rates due to the timing of achievement of the performance-based criteria.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Huron Healthcare segment operating income increased $15.4 million, or 96.7%, to $31.2 million in the three months ended March 31, 2013 from $15.8 million in the three months ended March 31, 2012. The Huron Healthcare segment operating margin, defined as segment operating income expressed as a percentage of segment revenues, increased to 39.6% for the first quarter of 2013 from 25.0% in the same period last year. The increase in this segment’s operating margin was primarily attributable to a decrease in salaries, bonus and related expenses for our revenue-generating professionals as a percentage of revenues, and decreases in technology expense, intangible asset amortization expense, practice administration and meeting expenses and contractor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Huron Legal segment revenues decreased $0.5 million, or 1.1%, to $40.9 million for the first quarter of 2013 from $41.4 million for the first quarter of 2012. Revenues from time-and-expense engagements, fixed-fee engagements, and support and maintenance arrangements represented 94.4%, 5.4%, and 0.2%, respectively, of this segment’s revenues during the three months ended March 31, 2013. Revenues from time-and-expense engagements and fixed-fee engagements represented 95.6% and 4.4%, respectively, of this segment’s revenues for the comparable period in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Of the overall $0.5 million decrease in revenues, $1.5 million was attributable to a decrease in revenues generated by our full-time billable consultants, partially offset by a $1.0 million increase in revenue generated by our full-time equivalents. The decrease in revenues reflected a decrease in demand for our advisory services, partially offset by a slight increase in demand for our document review and electronic data discovery services. The decrease in full-time billable consultant revenue reflected a lower consultant utilization rate and average billing rate, partially offset by an increase in the average number of full-time billable consultants. The increase in revenue attributable to our full-time equivalents was driven by an increase in the average number of full-time equivalents, partially offset by a decrease in the average revenue per full-time equivalent.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Huron Legal segment operating income decreased by $6.6 million, or 69.1%, to $2.9 million in the three months ended March 31, 2013 from $9.5 million in the three months ended March 31, 2012. Segment operating margin decreased to 7.2% for the first quarter of 2013 from 23.0% in the same period last year. The decrease in this segment’s operating margin was primarily attributable to increases in salaries, bonuses and related expenses for both our revenue-generating professionals and support personnel, technology expense, practice administration and meetings expenses, and promotion and sponsorship expenses, partially offset by a decrease in contractor expense as a percentage of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Huron Education and Life Sciences segment revenues increased $8.0 million, or 29.1%, to $35.7 million for the first quarter of 2013 from $27.7 million for the first quarter of 2012. Revenues from time-and-expense engagements, fixed-fee engagements and software support and maintenance arrangements represented 76.7%, 19.4% and 3.9% of this segment’s revenues during the three months ended March 31, 2013, respectively, compared to 72.1%, 23.5% and 4.4%, respectively, for the comparable period in 2012.</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the overall $8.0 million increase in revenues, $6.3 million was attributable to our full-time billable consultants and $1.7 million was related to our full-time equivalents. The overall increase in demand for our services in the Huron Education and Life Sciences segment reflected the increased competitive pressures faced by our clients as the result of increased regulation, rising costs, and declining funding. The increase in revenues from our full-time billable consultants reflected an increase in the average number of full-time billable consultants, partially offset by decreases in average billing rate and consultant utilization rate. The increase in revenue attributable to our full-time equivalents was driven by an increase in the average number of full-time equivalents and the average revenue per full-time equivalent.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Huron Education and Life Sciences segment operating income increased $2.9 million, or 44.8%, to $9.4 million in the three months ended March 31, 2013 from $6.5 million in the three months ended March 31, 2012. The Huron Education and Life Sciences segment operating margin, defined as segment operating income expressed as a percentage of segment revenues, increased to 26.2% for the first quarter of 2013 from 23.3% in the same period last year. The increase in this segment’s operating margin was primarily attributable to decreases in salaries, bonus and related expenses for both our revenue-generating professionals and support personnel as a percentage of revenues, and decreases in promotion and sponsorship expenses and intangible asset amortization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Financial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Huron Financial segment revenues increased $2.8 million, or 46.7%, to $8.6 million for the first quarter of 2013 from $5.8 million for the first quarter of 2012. Revenues from time-and-expense engagements, fixed-fee engagements, and performance-based arrangements represented 77.4%, 16.8%, and 5.8%, respectively, of this segment’s revenues during the first quarter of 2013. Revenues from time-and-expense engagements and fixed-fee engagements represented 72.4% and 27.6%, respectively, for the comparable period in 2012.</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overall $2.8 million increase in revenues, $2.9 million was attributable to an increase in revenues from our full-time billable consultants, partially offset by a $0.1 million decrease in revenue generated by our full-time equivalents. The overall increase in revenues is attributable to an increase in demand for our Restructuring and Turnaround practice services.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increase reflected higher consultant utilization rate and average billing rate, partially offset by a decrease in the average number of full-time billable consultants.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Huron Financial segment operating income increased by $3.2 million to $3.4 million in the three months ended March 31, 2013 compared to $0.2 million in the three months ended March 31, 2012. Segment operating margin increased to 39.4% for the first quarter of 2013 from 4.0% in the same period last year. The increase in this segment’s operating margin was primarily attributable to a decrease in salaries, bonus and related expenses for our revenue-generating professionals.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and cash equivalents decreased $19.4 million, from $25.2 million at December 31, 2012 to $5.7 million at March 31, 2013. Our primary sources of liquidity are cash flows from operations and debt capacity available under our credit facility.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89"/>
              </w:rPr>
              <w:t>Cash Flows (in thousands):</w:t>
            </w:r>
          </w:p>
        </w:tc>
        <w:tc>
          <w:tcPr>
            <w:tcW w:w="4260" w:type="dxa"/>
            <w:vAlign w:val="bottom"/>
            <w:vMerge w:val="restart"/>
          </w:tcPr>
          <w:p>
            <w:pPr>
              <w:spacing w:after="0"/>
              <w:rPr>
                <w:sz w:val="14"/>
                <w:szCs w:val="14"/>
                <w:color w:val="auto"/>
              </w:rPr>
            </w:pPr>
          </w:p>
        </w:tc>
        <w:tc>
          <w:tcPr>
            <w:tcW w:w="3040" w:type="dxa"/>
            <w:vAlign w:val="bottom"/>
          </w:tcPr>
          <w:p>
            <w:pPr>
              <w:spacing w:after="0"/>
              <w:rPr>
                <w:sz w:val="14"/>
                <w:szCs w:val="1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9"/>
        </w:trPr>
        <w:tc>
          <w:tcPr>
            <w:tcW w:w="166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3040" w:type="dxa"/>
            <w:vAlign w:val="bottom"/>
          </w:tcPr>
          <w:p>
            <w:pPr>
              <w:spacing w:after="0"/>
              <w:rPr>
                <w:sz w:val="12"/>
                <w:szCs w:val="12"/>
                <w:color w:val="auto"/>
              </w:rPr>
            </w:pPr>
          </w:p>
        </w:tc>
        <w:tc>
          <w:tcPr>
            <w:tcW w:w="840" w:type="dxa"/>
            <w:vAlign w:val="bottom"/>
            <w:tcBorders>
              <w:top w:val="single" w:sz="8" w:color="auto"/>
            </w:tcBorders>
          </w:tcPr>
          <w:p>
            <w:pPr>
              <w:jc w:val="right"/>
              <w:ind w:right="206"/>
              <w:spacing w:after="0" w:line="129"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0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(24,826)</w:t>
            </w: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520" w:type="dxa"/>
            <w:vAlign w:val="bottom"/>
            <w:gridSpan w:val="3"/>
          </w:tcPr>
          <w:p>
            <w:pPr>
              <w:jc w:val="right"/>
              <w:ind w:right="580"/>
              <w:spacing w:after="0"/>
              <w:rPr>
                <w:sz w:val="20"/>
                <w:szCs w:val="20"/>
                <w:color w:val="auto"/>
              </w:rPr>
            </w:pPr>
            <w:r>
              <w:rPr>
                <w:rFonts w:ascii="Arial" w:cs="Arial" w:eastAsia="Arial" w:hAnsi="Arial"/>
                <w:sz w:val="18"/>
                <w:szCs w:val="18"/>
                <w:color w:val="auto"/>
              </w:rPr>
              <w:t>(4,775)</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(36,926)</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10,265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Cash used in operating activities totaled $24.8 million for the three months ended March 31, 2013 and $12.6 million for the same period last year. Our operating assets and liabilities consist primarily of receivables from billed and unbilled services, accounts payable and accrued expenses, and accrued payroll and related benefits. The volume of services rendered and the related billings and timing of collections on those billings, as well as payments of our accounts payable and salaries, bonuses and benefits to employees affect these account balances. The increase in cash used in operations in the first three months of 2013 compared to the first three months of 2012 was primarily attributable to decreased collections of receivables and unbilled services from clients and increased tax payments, partially offset by higher net income and lower bonus payments during the first quarter of 2013 when compared with the first quarter of 2012.</w:t>
      </w:r>
    </w:p>
    <w:p>
      <w:pPr>
        <w:spacing w:after="0" w:line="10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Cash used in investing activities was $4.8 million for the three months ended March 31, 2013 and $36.9 million for the same period last year. The use of cash during the first three months of 2012 included payments for businesses acquired in prior periods totaling $31.3 million. These payments for acquired businesses were primarily comprised of additional purchase consideration earned by the selling shareholders of businesses that we acquired based on the achievement of financial performance targets as specified in the related purchase agreements. As of December 31, 2012, we had no further obligations under these arrangements. The use of cash in the first three months of 2013 and 2012 included purchases of property and equipment of $3.6 million and $5.3 million, respectively. We estimate that the cash utilized for capital expenditures in 2013 will be approximately $25.0 million, primarily consisting of information technology related equipment and leasehold improvements to support continued growth of our document review and processing services, as well as information technology related equipment to support our corporate infrastructure.</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amendment to the credit agreement dated as of August 31, 2012 (collectively, the “2011 Credit Agreement”). The 2011 Credit Agreement replaced the previous Credit Agreement, dated as of June 7, 2006, and all subsequent amendments thereto, by and among the Company and the lenders therein.</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Term Loan, as amended, is subject to scheduled quarterly amortization payments equal to 4.9% of the original principal balance in 2012, which was paid as of December 31, 2012, 11.7% in 2013, 12.4% in 2014, 14.2% in 2015, 14.8% in 2016 and 42.0% in 2017, as set forth in the 2011 Credit Agreement. The maturity date for the Term Loan is August 31, 2017, at which time the outstanding principal balance and all accrued interest will be due and payable in full. All outstanding borrowings under the Revolver, as amended, will be due upon expiration of the 2011 Credit Agreement on August 31, 2017.</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that varies throughout the term and was 3.25 to 1.00 as of March 31, 2013, as those ratios are defined therein, as well as a minimum net worth greater than $150 million. At March 31, 2013, we were in compliance with these financial covenants with a fixed charge coverage ratio of 3.81 to 1.00, a leverage ratio of 1.54 to 1.00, and net worth greater than $150 million. At December 31, 2012, we were also in compliance with our financial covenants.</w:t>
      </w:r>
    </w:p>
    <w:p>
      <w:pPr>
        <w:spacing w:after="0" w:line="11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March 31, 2013, outstanding letters of credit totaled $5.1 million and are primarily used as security deposits for our office facilities. As of March 31, 2013, the unused borrowing capacity under the 2011 Credit Agreement was $227.4 million. Borrowings outstanding under this credit facility at March 31, 2013 totaled $202.5 million. These borrowings carried a weighted average interest rate of 2.6%, including the effect of the interest rate swaps described in Note 9 “Derivative Instruments and Hedging Activity.” During the first three months of 2013, the average daily outstanding balance under our credit facility was $195.4 million. Borrowings outstanding at December 31, 2012 were $192.5 million and carried a weighted average interest rate of 2.5%. Effective March 31, 2013, we have classified as current liabilities, the scheduled quarterly principal payments due under the Term Loan within twelve months of the balance sheet date, as we intend to make these payments with cash from operations rather than from availability under the Revolver.</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See “Risk Factors” in our Annual Report on Form 10-K for the year ended December 31, 2012 for a discussion of certain risks and uncertainties related to the 2011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96" w:lineRule="exact"/>
        <w:rPr>
          <w:sz w:val="20"/>
          <w:szCs w:val="20"/>
          <w:color w:val="auto"/>
        </w:rPr>
      </w:pPr>
    </w:p>
    <w:p>
      <w:pPr>
        <w:ind w:right="200"/>
        <w:spacing w:after="0" w:line="314" w:lineRule="auto"/>
        <w:rPr>
          <w:sz w:val="20"/>
          <w:szCs w:val="20"/>
          <w:color w:val="auto"/>
        </w:rPr>
      </w:pPr>
      <w:r>
        <w:rPr>
          <w:rFonts w:ascii="Arial" w:cs="Arial" w:eastAsia="Arial" w:hAnsi="Arial"/>
          <w:sz w:val="15"/>
          <w:szCs w:val="15"/>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We believe our internally generated liquidity, together with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2012. There have been no significant changes in our contractual obligations since December 31, 2012 except as described below:</w:t>
      </w:r>
    </w:p>
    <w:p>
      <w:pPr>
        <w:spacing w:after="0" w:line="26" w:lineRule="exact"/>
        <w:rPr>
          <w:sz w:val="20"/>
          <w:szCs w:val="20"/>
          <w:color w:val="auto"/>
        </w:rPr>
      </w:pPr>
    </w:p>
    <w:p>
      <w:pPr>
        <w:ind w:left="900" w:right="3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first three months of 2013, our long-term borrowings increased from $192.5 million as of December 31, 2012 to $202.5 million as of March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February 2013, the FASB issued ASU No. 2013-02, Reporting of Amounts Reclassified Out of Accumulated Other Comprehensive Income, which amends current accounting guidance on comprehensive income. The guidance requires an entity to present, either on the face of the statement where net income is presented or in the notes, significant amounts reclassified out of accumulated other comprehensive income by the respective line items of net income if the amount is reclassified to net income in its entirety in the same reporting period. For other amounts not required to be reclassified in their entirety to net income in the same reporting period, a cross reference to other disclosures that provide additional detail about the reclassification amounts is required. The Company adopted this guidance effective January 1, 2013. The guidance required a change in disclosure only and did not have any effect on the Company’s consolidated financial statements.</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This guidance will be effective for the Company beginning in the first quarter of 2014. We do not expect the adoption to have a material impact on our consolidated financial statements.</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exposure to changes in interest rates is limited to borrowings under our bank credit facility, which has variable interest rates tied to the LIBOR, Federal Funds Rate, Prime Rate, or Eurodollar Rate. At March 31, 2013, we had borrowings outstanding totaling $202.5 million that carried a weighted average interest rate of</w:t>
      </w:r>
    </w:p>
    <w:p>
      <w:pPr>
        <w:ind w:right="20"/>
        <w:spacing w:after="0" w:line="261" w:lineRule="auto"/>
        <w:rPr>
          <w:sz w:val="20"/>
          <w:szCs w:val="20"/>
          <w:color w:val="auto"/>
        </w:rPr>
      </w:pPr>
      <w:r>
        <w:rPr>
          <w:rFonts w:ascii="Arial" w:cs="Arial" w:eastAsia="Arial" w:hAnsi="Arial"/>
          <w:sz w:val="18"/>
          <w:szCs w:val="18"/>
          <w:color w:val="auto"/>
        </w:rPr>
        <w:t>2.6% including the effect of the interest rate swaps described below. A hypothetical 100 basis point change in this interest rate would have a $1.2 million effect on our pretax income including the effect of the interest rate swaps described below.</w:t>
      </w:r>
    </w:p>
    <w:p>
      <w:pPr>
        <w:spacing w:after="0" w:line="13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1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1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Including the impact of the above swap agreements, the effective interest rate on $82.5 million of our debt, which equals the notional amount of the swap agreements at March 31, 2013, was 2.9%.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March 31,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On April 4, 2013, we entered into a one-year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throughout the term. Under the terms of the interest rate swap agreement, we will receive from the counterparty interest on the notional amount based on one-month LIBOR and we will pay to the counterparty a fixed rate of 0.985%.</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2013. Based on this evaluation, our Chief Executive Officer and Chief Financial Officer have concluded that, as of March 31, 2013,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Control over Financial Reporting</w:t>
      </w:r>
    </w:p>
    <w:p>
      <w:pPr>
        <w:spacing w:after="0" w:line="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March 31, 2013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relator’s second amended complaint in its entirety with prejudice. As a result, we reversed the charge of $1.2 million relating to settlement discussions which we recorded in the second quarter of 2012, in accordance with FASB ASC Topic 450, “Contingencies.” The relator filed an appeal on April 2, 2013. On April 8, 2013, Huron filed an appeal of an earlier denial of a motion to dismiss filed by Huron which argued that relator’s action was barred because, under the FCA jurisdictional bar, the action was based on publicly disclosed information and relator cannot qualify as an original source. We continue to believe that the claims are without merit and intend to vigorously defend ourselves in this matter.</w:t>
      </w:r>
    </w:p>
    <w:p>
      <w:pPr>
        <w:spacing w:after="0" w:line="12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our 2012 Annual Report on Form 10-K for a complete description of the material risks we face.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2012 Omnibus Incentive Plan and our 2004 Omnibus Stock Plan, which was replaced by the 2012 Omnibus Incentive Plan, permit the netting of common stock upon vesting of restricted stock awards to satisfy individual tax withholding requirements. During the quarter ended March 31, 2013, we re-acquired 16,283 shares of common stock with a weighted average fair market value of $34.69 as a result of such tax withholdings as presented in the table below. We do not have any publicly announced share repurchase plans or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8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Shares Withheld to</w:t>
            </w:r>
          </w:p>
        </w:tc>
        <w:tc>
          <w:tcPr>
            <w:tcW w:w="44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860" w:type="dxa"/>
            <w:vAlign w:val="bottom"/>
          </w:tcPr>
          <w:p>
            <w:pPr>
              <w:spacing w:after="0"/>
              <w:rPr>
                <w:sz w:val="12"/>
                <w:szCs w:val="12"/>
                <w:color w:val="auto"/>
              </w:rPr>
            </w:pPr>
          </w:p>
        </w:tc>
        <w:tc>
          <w:tcPr>
            <w:tcW w:w="19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that May Yet Be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Satisfy Employee</w:t>
            </w:r>
          </w:p>
        </w:tc>
        <w:tc>
          <w:tcPr>
            <w:tcW w:w="4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860" w:type="dxa"/>
            <w:vAlign w:val="bottom"/>
          </w:tcPr>
          <w:p>
            <w:pPr>
              <w:spacing w:after="0"/>
              <w:rPr>
                <w:sz w:val="12"/>
                <w:szCs w:val="12"/>
                <w:color w:val="auto"/>
              </w:rPr>
            </w:pPr>
          </w:p>
        </w:tc>
        <w:tc>
          <w:tcPr>
            <w:tcW w:w="19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5"/>
              </w:rPr>
              <w:t>as Part of Publicly</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6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Tax Withholding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Per Share</w:t>
            </w:r>
          </w:p>
        </w:tc>
        <w:tc>
          <w:tcPr>
            <w:tcW w:w="860" w:type="dxa"/>
            <w:vAlign w:val="bottom"/>
          </w:tcPr>
          <w:p>
            <w:pPr>
              <w:spacing w:after="0"/>
              <w:rPr>
                <w:sz w:val="12"/>
                <w:szCs w:val="12"/>
                <w:color w:val="auto"/>
              </w:rPr>
            </w:pPr>
          </w:p>
        </w:tc>
        <w:tc>
          <w:tcPr>
            <w:tcW w:w="19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Requirements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Withheld</w:t>
            </w:r>
          </w:p>
        </w:tc>
        <w:tc>
          <w:tcPr>
            <w:tcW w:w="860" w:type="dxa"/>
            <w:vAlign w:val="bottom"/>
          </w:tcPr>
          <w:p>
            <w:pPr>
              <w:spacing w:after="0"/>
              <w:rPr>
                <w:sz w:val="14"/>
                <w:szCs w:val="14"/>
                <w:color w:val="auto"/>
              </w:rPr>
            </w:pPr>
          </w:p>
        </w:tc>
        <w:tc>
          <w:tcPr>
            <w:tcW w:w="194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8"/>
              </w:rPr>
              <w:t>or Programs</w:t>
            </w:r>
          </w:p>
        </w:tc>
        <w:tc>
          <w:tcPr>
            <w:tcW w:w="11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9"/>
              </w:rPr>
              <w:t>January 2013</w:t>
            </w:r>
          </w:p>
        </w:tc>
        <w:tc>
          <w:tcPr>
            <w:tcW w:w="16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11,319</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33.29</w:t>
            </w:r>
          </w:p>
        </w:tc>
        <w:tc>
          <w:tcPr>
            <w:tcW w:w="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8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February 2013</w:t>
            </w:r>
          </w:p>
        </w:tc>
        <w:tc>
          <w:tcPr>
            <w:tcW w:w="1120" w:type="dxa"/>
            <w:vAlign w:val="bottom"/>
          </w:tcPr>
          <w:p>
            <w:pPr>
              <w:jc w:val="right"/>
              <w:spacing w:after="0"/>
              <w:rPr>
                <w:sz w:val="20"/>
                <w:szCs w:val="20"/>
                <w:color w:val="auto"/>
              </w:rPr>
            </w:pPr>
            <w:r>
              <w:rPr>
                <w:rFonts w:ascii="Arial" w:cs="Arial" w:eastAsia="Arial" w:hAnsi="Arial"/>
                <w:sz w:val="18"/>
                <w:szCs w:val="18"/>
                <w:color w:val="auto"/>
              </w:rPr>
              <w:t>1,214</w:t>
            </w:r>
          </w:p>
        </w:tc>
        <w:tc>
          <w:tcPr>
            <w:tcW w:w="42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35.45</w:t>
            </w:r>
          </w:p>
        </w:tc>
        <w:tc>
          <w:tcPr>
            <w:tcW w:w="86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2013</w:t>
            </w:r>
          </w:p>
        </w:tc>
        <w:tc>
          <w:tcPr>
            <w:tcW w:w="1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67</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16,283</w:t>
            </w:r>
          </w:p>
        </w:tc>
        <w:tc>
          <w:tcPr>
            <w:tcW w:w="42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69</w:t>
            </w:r>
          </w:p>
        </w:tc>
        <w:tc>
          <w:tcPr>
            <w:tcW w:w="860" w:type="dxa"/>
            <w:vAlign w:val="bottom"/>
          </w:tcPr>
          <w:p>
            <w:pPr>
              <w:spacing w:after="0"/>
              <w:rPr>
                <w:sz w:val="19"/>
                <w:szCs w:val="19"/>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3"/>
          </w:tcPr>
          <w:p>
            <w:pPr>
              <w:spacing w:after="0"/>
              <w:rPr>
                <w:sz w:val="8"/>
                <w:szCs w:val="8"/>
                <w:color w:val="auto"/>
              </w:rPr>
            </w:pPr>
          </w:p>
        </w:tc>
        <w:tc>
          <w:tcPr>
            <w:tcW w:w="3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4700" w:type="dxa"/>
            <w:vAlign w:val="bottom"/>
            <w:gridSpan w:val="4"/>
          </w:tcPr>
          <w:p>
            <w:pPr>
              <w:spacing w:after="0"/>
              <w:rPr>
                <w:sz w:val="20"/>
                <w:szCs w:val="20"/>
                <w:color w:val="auto"/>
              </w:rPr>
            </w:pPr>
            <w:r>
              <w:rPr>
                <w:rFonts w:ascii="Arial" w:cs="Arial" w:eastAsia="Arial" w:hAnsi="Arial"/>
                <w:sz w:val="18"/>
                <w:szCs w:val="18"/>
                <w:color w:val="auto"/>
              </w:rPr>
              <w:t>N/A – Not applicable.</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3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DEFAULTS UPON SENIOR SECURITIES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Filed</w:t>
            </w: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2"/>
              </w:rPr>
              <w:t>Incorporated by Reference</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1"/>
              </w:rPr>
              <w:t>here-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w:t>
            </w:r>
          </w:p>
        </w:tc>
        <w:tc>
          <w:tcPr>
            <w:tcW w:w="0" w:type="dxa"/>
            <w:vAlign w:val="bottom"/>
          </w:tcPr>
          <w:p>
            <w:pPr>
              <w:spacing w:after="0"/>
              <w:rPr>
                <w:sz w:val="1"/>
                <w:szCs w:val="1"/>
                <w:color w:val="auto"/>
              </w:rPr>
            </w:pPr>
          </w:p>
        </w:tc>
      </w:tr>
      <w:tr>
        <w:trPr>
          <w:trHeight w:val="149"/>
        </w:trPr>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6940" w:type="dxa"/>
            <w:vAlign w:val="bottom"/>
          </w:tcPr>
          <w:p>
            <w:pPr>
              <w:jc w:val="right"/>
              <w:ind w:right="2832"/>
              <w:spacing w:after="0" w:line="129" w:lineRule="exact"/>
              <w:rPr>
                <w:sz w:val="20"/>
                <w:szCs w:val="20"/>
                <w:color w:val="auto"/>
              </w:rPr>
            </w:pPr>
            <w:r>
              <w:rPr>
                <w:rFonts w:ascii="Arial" w:cs="Arial" w:eastAsia="Arial" w:hAnsi="Arial"/>
                <w:sz w:val="14"/>
                <w:szCs w:val="14"/>
                <w:b w:val="1"/>
                <w:bCs w:val="1"/>
                <w:color w:val="auto"/>
              </w:rPr>
              <w:t>Exhibit Description</w:t>
            </w:r>
          </w:p>
        </w:tc>
        <w:tc>
          <w:tcPr>
            <w:tcW w:w="320" w:type="dxa"/>
            <w:vAlign w:val="bottom"/>
          </w:tcPr>
          <w:p>
            <w:pPr>
              <w:spacing w:after="0"/>
              <w:rPr>
                <w:sz w:val="12"/>
                <w:szCs w:val="12"/>
                <w:color w:val="auto"/>
              </w:rPr>
            </w:pPr>
          </w:p>
        </w:tc>
        <w:tc>
          <w:tcPr>
            <w:tcW w:w="7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2"/>
              </w:rPr>
              <w:t>with</w:t>
            </w:r>
          </w:p>
        </w:tc>
        <w:tc>
          <w:tcPr>
            <w:tcW w:w="340" w:type="dxa"/>
            <w:vAlign w:val="bottom"/>
          </w:tcPr>
          <w:p>
            <w:pPr>
              <w:spacing w:after="0" w:line="129" w:lineRule="exact"/>
              <w:rPr>
                <w:sz w:val="20"/>
                <w:szCs w:val="20"/>
                <w:color w:val="auto"/>
              </w:rPr>
            </w:pPr>
            <w:r>
              <w:rPr>
                <w:rFonts w:ascii="Arial" w:cs="Arial" w:eastAsia="Arial" w:hAnsi="Arial"/>
                <w:sz w:val="14"/>
                <w:szCs w:val="14"/>
                <w:b w:val="1"/>
                <w:bCs w:val="1"/>
                <w:color w:val="auto"/>
                <w:w w:val="91"/>
              </w:rPr>
              <w:t>Form</w:t>
            </w:r>
          </w:p>
        </w:tc>
        <w:tc>
          <w:tcPr>
            <w:tcW w:w="300" w:type="dxa"/>
            <w:vAlign w:val="bottom"/>
          </w:tcPr>
          <w:p>
            <w:pPr>
              <w:spacing w:after="0"/>
              <w:rPr>
                <w:sz w:val="12"/>
                <w:szCs w:val="12"/>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Ending</w:t>
            </w: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w:t>
            </w: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w w:val="93"/>
              </w:rPr>
              <w:t>Certification of the Chief Executive Officer, pursuant to Rule 13a-14(a)/15d-14(a), as adopted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pursuant to Section 302 of the Sarbanes-Oxley Act of 2002.</w:t>
            </w:r>
          </w:p>
        </w:tc>
        <w:tc>
          <w:tcPr>
            <w:tcW w:w="320" w:type="dxa"/>
            <w:vAlign w:val="bottom"/>
          </w:tcPr>
          <w:p>
            <w:pPr>
              <w:spacing w:after="0"/>
              <w:rPr>
                <w:sz w:val="19"/>
                <w:szCs w:val="19"/>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w w:val="94"/>
              </w:rPr>
              <w:t>Certification of the Chief Financial Officer, pursuant to Rule 13a-14(a)/15d-14(a), as adopted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pursuant to Section 302 of the Sarbanes-Oxley Act of 2002.</w:t>
            </w:r>
          </w:p>
        </w:tc>
        <w:tc>
          <w:tcPr>
            <w:tcW w:w="320" w:type="dxa"/>
            <w:vAlign w:val="bottom"/>
          </w:tcPr>
          <w:p>
            <w:pPr>
              <w:spacing w:after="0"/>
              <w:rPr>
                <w:sz w:val="19"/>
                <w:szCs w:val="19"/>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w w:val="95"/>
              </w:rPr>
              <w:t>Certification of the Chief Executive Officer, pursuant to 18 U.S.C. Section 1350, as adopted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pursuant to Section 906 of the Sarbanes-Oxley Act of 2002.</w:t>
            </w:r>
          </w:p>
        </w:tc>
        <w:tc>
          <w:tcPr>
            <w:tcW w:w="320" w:type="dxa"/>
            <w:vAlign w:val="bottom"/>
          </w:tcPr>
          <w:p>
            <w:pPr>
              <w:spacing w:after="0"/>
              <w:rPr>
                <w:sz w:val="19"/>
                <w:szCs w:val="19"/>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w w:val="96"/>
              </w:rPr>
              <w:t>Certification of the Chief Financial Officer, pursuant to 18 U.S.C. Section 1350, as adopted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pursuant to Section 906 of the Sarbanes-Oxley Act of 2002.</w:t>
            </w:r>
          </w:p>
        </w:tc>
        <w:tc>
          <w:tcPr>
            <w:tcW w:w="320" w:type="dxa"/>
            <w:vAlign w:val="bottom"/>
          </w:tcPr>
          <w:p>
            <w:pPr>
              <w:spacing w:after="0"/>
              <w:rPr>
                <w:sz w:val="19"/>
                <w:szCs w:val="19"/>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32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32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32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32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32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00" w:type="dxa"/>
            <w:vAlign w:val="bottom"/>
            <w:gridSpan w:val="2"/>
          </w:tcPr>
          <w:p>
            <w:pPr>
              <w:jc w:val="right"/>
              <w:ind w:right="2052"/>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26, 2013</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 and Treasurer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240" w:top="459" w:right="7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640" w:val="left"/>
          <w:tab w:leader="none" w:pos="6160" w:val="left"/>
        </w:tabs>
        <w:rPr>
          <w:sz w:val="20"/>
          <w:szCs w:val="20"/>
          <w:color w:val="auto"/>
        </w:rPr>
      </w:pPr>
      <w:r>
        <w:rPr>
          <w:rFonts w:ascii="Arial" w:cs="Arial" w:eastAsia="Arial" w:hAnsi="Arial"/>
          <w:sz w:val="18"/>
          <w:szCs w:val="18"/>
          <w:color w:val="auto"/>
        </w:rPr>
        <w:t>Date: April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Roth</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640" w:val="left"/>
          <w:tab w:leader="none" w:pos="6160" w:val="left"/>
        </w:tabs>
        <w:rPr>
          <w:sz w:val="20"/>
          <w:szCs w:val="20"/>
          <w:color w:val="auto"/>
        </w:rPr>
      </w:pPr>
      <w:r>
        <w:rPr>
          <w:rFonts w:ascii="Arial" w:cs="Arial" w:eastAsia="Arial" w:hAnsi="Arial"/>
          <w:sz w:val="18"/>
          <w:szCs w:val="18"/>
          <w:color w:val="auto"/>
        </w:rPr>
        <w:t>Date: April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 Mark Hussey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March 31, 2013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2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5640" w:val="left"/>
          <w:tab w:leader="none" w:pos="6160" w:val="left"/>
        </w:tabs>
        <w:rPr>
          <w:sz w:val="20"/>
          <w:szCs w:val="20"/>
          <w:color w:val="auto"/>
        </w:rPr>
      </w:pPr>
      <w:r>
        <w:rPr>
          <w:rFonts w:ascii="Arial" w:cs="Arial" w:eastAsia="Arial" w:hAnsi="Arial"/>
          <w:sz w:val="18"/>
          <w:szCs w:val="18"/>
          <w:color w:val="auto"/>
        </w:rPr>
        <w:t>Date: April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Roth</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2013 as filed with the Securities and Exchange Commission on the date hereof (the “Report”), I, C. Mark Hussey, Executive Vice President, Chief Financial Officer and Treasurer of the Company,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5640" w:val="left"/>
          <w:tab w:leader="none" w:pos="6160" w:val="left"/>
        </w:tabs>
        <w:rPr>
          <w:sz w:val="20"/>
          <w:szCs w:val="20"/>
          <w:color w:val="auto"/>
        </w:rPr>
      </w:pPr>
      <w:r>
        <w:rPr>
          <w:rFonts w:ascii="Arial" w:cs="Arial" w:eastAsia="Arial" w:hAnsi="Arial"/>
          <w:sz w:val="18"/>
          <w:szCs w:val="18"/>
          <w:color w:val="auto"/>
        </w:rPr>
        <w:t>Date: April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 Mark Hussey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Treasurer</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decimal"/>
      <w:start w:val="14"/>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2019-12-07T07:54:00Z</dcterms:created>
  <dcterms:modified xsi:type="dcterms:W3CDTF">2019-12-07T07:54:00Z</dcterms:modified>
</cp:coreProperties>
</file>