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55880</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169545</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7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2013</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18"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000-50976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143510</wp:posOffset>
            </wp:positionV>
            <wp:extent cx="1089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8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w:t>
      </w:r>
      <w:r>
        <w:rPr>
          <w:rFonts w:ascii="Arial" w:cs="Arial" w:eastAsia="Arial" w:hAnsi="Arial"/>
          <w:sz w:val="36"/>
          <w:szCs w:val="36"/>
          <w:b w:val="1"/>
          <w:bCs w:val="1"/>
          <w:color w:val="auto"/>
        </w:rPr>
        <w:t>URON</w:t>
      </w:r>
      <w:r>
        <w:rPr>
          <w:rFonts w:ascii="Arial" w:cs="Arial" w:eastAsia="Arial" w:hAnsi="Arial"/>
          <w:sz w:val="43"/>
          <w:szCs w:val="43"/>
          <w:b w:val="1"/>
          <w:bCs w:val="1"/>
          <w:color w:val="auto"/>
        </w:rPr>
        <w:t xml:space="preserve"> C</w:t>
      </w:r>
      <w:r>
        <w:rPr>
          <w:rFonts w:ascii="Arial" w:cs="Arial" w:eastAsia="Arial" w:hAnsi="Arial"/>
          <w:sz w:val="36"/>
          <w:szCs w:val="36"/>
          <w:b w:val="1"/>
          <w:bCs w:val="1"/>
          <w:color w:val="auto"/>
        </w:rPr>
        <w:t>ONSULTING</w:t>
      </w:r>
      <w:r>
        <w:rPr>
          <w:rFonts w:ascii="Arial" w:cs="Arial" w:eastAsia="Arial" w:hAnsi="Arial"/>
          <w:sz w:val="43"/>
          <w:szCs w:val="43"/>
          <w:b w:val="1"/>
          <w:bCs w:val="1"/>
          <w:color w:val="auto"/>
        </w:rPr>
        <w:t xml:space="preserve"> G</w:t>
      </w:r>
      <w:r>
        <w:rPr>
          <w:rFonts w:ascii="Arial" w:cs="Arial" w:eastAsia="Arial" w:hAnsi="Arial"/>
          <w:sz w:val="36"/>
          <w:szCs w:val="36"/>
          <w:b w:val="1"/>
          <w:bCs w:val="1"/>
          <w:color w:val="auto"/>
        </w:rPr>
        <w:t>ROUP</w:t>
      </w:r>
      <w:r>
        <w:rPr>
          <w:rFonts w:ascii="Arial" w:cs="Arial" w:eastAsia="Arial" w:hAnsi="Arial"/>
          <w:sz w:val="43"/>
          <w:szCs w:val="43"/>
          <w:b w:val="1"/>
          <w:bCs w:val="1"/>
          <w:color w:val="auto"/>
        </w:rPr>
        <w:t xml:space="preserve"> I</w:t>
      </w:r>
      <w:r>
        <w:rPr>
          <w:rFonts w:ascii="Arial" w:cs="Arial" w:eastAsia="Arial" w:hAnsi="Arial"/>
          <w:sz w:val="36"/>
          <w:szCs w:val="36"/>
          <w:b w:val="1"/>
          <w:bCs w:val="1"/>
          <w:color w:val="auto"/>
        </w:rPr>
        <w:t>NC</w:t>
      </w:r>
      <w:r>
        <w:rPr>
          <w:rFonts w:ascii="Arial" w:cs="Arial" w:eastAsia="Arial" w:hAnsi="Arial"/>
          <w:sz w:val="43"/>
          <w:szCs w:val="43"/>
          <w:b w:val="1"/>
          <w:bCs w:val="1"/>
          <w:color w:val="auto"/>
        </w:rPr>
        <w:t>.</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128905</wp:posOffset>
            </wp:positionV>
            <wp:extent cx="1089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31" w:lineRule="exact"/>
        <w:rPr>
          <w:sz w:val="24"/>
          <w:szCs w:val="24"/>
          <w:color w:val="auto"/>
        </w:rPr>
      </w:pPr>
    </w:p>
    <w:tbl>
      <w:tblPr>
        <w:tblLayout w:type="fixed"/>
        <w:tblInd w:w="2020" w:type="dxa"/>
        <w:tblCellMar>
          <w:top w:w="0" w:type="dxa"/>
          <w:left w:w="0" w:type="dxa"/>
          <w:bottom w:w="0" w:type="dxa"/>
          <w:right w:w="0" w:type="dxa"/>
        </w:tblCellMar>
      </w:tblPr>
      <w:tr>
        <w:trPr>
          <w:trHeight w:val="218"/>
        </w:trPr>
        <w:tc>
          <w:tcPr>
            <w:tcW w:w="1960" w:type="dxa"/>
            <w:vAlign w:val="bottom"/>
          </w:tcPr>
          <w:p>
            <w:pPr>
              <w:jc w:val="center"/>
              <w:ind w:right="146"/>
              <w:spacing w:after="0"/>
              <w:rPr>
                <w:sz w:val="20"/>
                <w:szCs w:val="20"/>
                <w:color w:val="auto"/>
              </w:rPr>
            </w:pPr>
            <w:r>
              <w:rPr>
                <w:rFonts w:ascii="Arial" w:cs="Arial" w:eastAsia="Arial" w:hAnsi="Arial"/>
                <w:sz w:val="18"/>
                <w:szCs w:val="18"/>
                <w:b w:val="1"/>
                <w:bCs w:val="1"/>
                <w:color w:val="auto"/>
                <w:w w:val="88"/>
              </w:rPr>
              <w:t>Delaware</w:t>
            </w:r>
          </w:p>
        </w:tc>
        <w:tc>
          <w:tcPr>
            <w:tcW w:w="5340" w:type="dxa"/>
            <w:vAlign w:val="bottom"/>
          </w:tcPr>
          <w:p>
            <w:pPr>
              <w:jc w:val="center"/>
              <w:ind w:left="3942"/>
              <w:spacing w:after="0"/>
              <w:rPr>
                <w:sz w:val="20"/>
                <w:szCs w:val="20"/>
                <w:color w:val="auto"/>
              </w:rPr>
            </w:pPr>
            <w:r>
              <w:rPr>
                <w:rFonts w:ascii="Arial" w:cs="Arial" w:eastAsia="Arial" w:hAnsi="Arial"/>
                <w:sz w:val="18"/>
                <w:szCs w:val="18"/>
                <w:b w:val="1"/>
                <w:bCs w:val="1"/>
                <w:color w:val="auto"/>
                <w:w w:val="87"/>
              </w:rPr>
              <w:t>01-0666114</w:t>
            </w:r>
          </w:p>
        </w:tc>
      </w:tr>
      <w:tr>
        <w:trPr>
          <w:trHeight w:val="149"/>
        </w:trPr>
        <w:tc>
          <w:tcPr>
            <w:tcW w:w="1960" w:type="dxa"/>
            <w:vAlign w:val="bottom"/>
          </w:tcPr>
          <w:p>
            <w:pPr>
              <w:jc w:val="center"/>
              <w:ind w:right="146"/>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340" w:type="dxa"/>
            <w:vAlign w:val="bottom"/>
          </w:tcPr>
          <w:p>
            <w:pPr>
              <w:jc w:val="center"/>
              <w:ind w:left="3922"/>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1960" w:type="dxa"/>
            <w:vAlign w:val="bottom"/>
          </w:tcPr>
          <w:p>
            <w:pPr>
              <w:jc w:val="center"/>
              <w:ind w:right="126"/>
              <w:spacing w:after="0"/>
              <w:rPr>
                <w:sz w:val="20"/>
                <w:szCs w:val="20"/>
                <w:color w:val="auto"/>
              </w:rPr>
            </w:pPr>
            <w:r>
              <w:rPr>
                <w:rFonts w:ascii="Arial" w:cs="Arial" w:eastAsia="Arial" w:hAnsi="Arial"/>
                <w:sz w:val="14"/>
                <w:szCs w:val="14"/>
                <w:b w:val="1"/>
                <w:bCs w:val="1"/>
                <w:color w:val="auto"/>
                <w:w w:val="88"/>
              </w:rPr>
              <w:t>incorporation or organization)</w:t>
            </w:r>
          </w:p>
        </w:tc>
        <w:tc>
          <w:tcPr>
            <w:tcW w:w="5340" w:type="dxa"/>
            <w:vAlign w:val="bottom"/>
          </w:tcPr>
          <w:p>
            <w:pPr>
              <w:jc w:val="center"/>
              <w:ind w:left="3922"/>
              <w:spacing w:after="0"/>
              <w:rPr>
                <w:sz w:val="20"/>
                <w:szCs w:val="20"/>
                <w:color w:val="auto"/>
              </w:rPr>
            </w:pPr>
            <w:r>
              <w:rPr>
                <w:rFonts w:ascii="Arial" w:cs="Arial" w:eastAsia="Arial" w:hAnsi="Arial"/>
                <w:sz w:val="14"/>
                <w:szCs w:val="14"/>
                <w:b w:val="1"/>
                <w:bCs w:val="1"/>
                <w:color w:val="auto"/>
                <w:w w:val="90"/>
              </w:rPr>
              <w:t>Identification Number)</w:t>
            </w:r>
          </w:p>
        </w:tc>
      </w:tr>
      <w:tr>
        <w:trPr>
          <w:trHeight w:val="310"/>
        </w:trPr>
        <w:tc>
          <w:tcPr>
            <w:tcW w:w="1960" w:type="dxa"/>
            <w:vAlign w:val="bottom"/>
          </w:tcPr>
          <w:p>
            <w:pPr>
              <w:spacing w:after="0"/>
              <w:rPr>
                <w:sz w:val="24"/>
                <w:szCs w:val="24"/>
                <w:color w:val="auto"/>
              </w:rPr>
            </w:pPr>
          </w:p>
        </w:tc>
        <w:tc>
          <w:tcPr>
            <w:tcW w:w="5340" w:type="dxa"/>
            <w:vAlign w:val="bottom"/>
          </w:tcPr>
          <w:p>
            <w:pPr>
              <w:jc w:val="center"/>
              <w:ind w:right="1802"/>
              <w:spacing w:after="0"/>
              <w:rPr>
                <w:sz w:val="20"/>
                <w:szCs w:val="20"/>
                <w:color w:val="auto"/>
              </w:rPr>
            </w:pPr>
            <w:r>
              <w:rPr>
                <w:rFonts w:ascii="Arial" w:cs="Arial" w:eastAsia="Arial" w:hAnsi="Arial"/>
                <w:sz w:val="18"/>
                <w:szCs w:val="18"/>
                <w:b w:val="1"/>
                <w:bCs w:val="1"/>
                <w:color w:val="auto"/>
                <w:w w:val="88"/>
              </w:rPr>
              <w:t>550 West Van Buren Street</w:t>
            </w:r>
          </w:p>
        </w:tc>
      </w:tr>
      <w:tr>
        <w:trPr>
          <w:trHeight w:val="216"/>
        </w:trPr>
        <w:tc>
          <w:tcPr>
            <w:tcW w:w="1960" w:type="dxa"/>
            <w:vAlign w:val="bottom"/>
          </w:tcPr>
          <w:p>
            <w:pPr>
              <w:spacing w:after="0"/>
              <w:rPr>
                <w:sz w:val="18"/>
                <w:szCs w:val="18"/>
                <w:color w:val="auto"/>
              </w:rPr>
            </w:pPr>
          </w:p>
        </w:tc>
        <w:tc>
          <w:tcPr>
            <w:tcW w:w="5340" w:type="dxa"/>
            <w:vAlign w:val="bottom"/>
          </w:tcPr>
          <w:p>
            <w:pPr>
              <w:jc w:val="center"/>
              <w:ind w:right="1802"/>
              <w:spacing w:after="0"/>
              <w:rPr>
                <w:sz w:val="20"/>
                <w:szCs w:val="20"/>
                <w:color w:val="auto"/>
              </w:rPr>
            </w:pPr>
            <w:r>
              <w:rPr>
                <w:rFonts w:ascii="Arial" w:cs="Arial" w:eastAsia="Arial" w:hAnsi="Arial"/>
                <w:sz w:val="18"/>
                <w:szCs w:val="18"/>
                <w:b w:val="1"/>
                <w:bCs w:val="1"/>
                <w:color w:val="auto"/>
                <w:w w:val="88"/>
              </w:rPr>
              <w:t>Chicago, Illinois</w:t>
            </w:r>
          </w:p>
        </w:tc>
      </w:tr>
      <w:tr>
        <w:trPr>
          <w:trHeight w:val="218"/>
        </w:trPr>
        <w:tc>
          <w:tcPr>
            <w:tcW w:w="1960" w:type="dxa"/>
            <w:vAlign w:val="bottom"/>
          </w:tcPr>
          <w:p>
            <w:pPr>
              <w:spacing w:after="0"/>
              <w:rPr>
                <w:sz w:val="18"/>
                <w:szCs w:val="18"/>
                <w:color w:val="auto"/>
              </w:rPr>
            </w:pPr>
          </w:p>
        </w:tc>
        <w:tc>
          <w:tcPr>
            <w:tcW w:w="5340" w:type="dxa"/>
            <w:vAlign w:val="bottom"/>
          </w:tcPr>
          <w:p>
            <w:pPr>
              <w:jc w:val="right"/>
              <w:ind w:right="3302"/>
              <w:spacing w:after="0"/>
              <w:rPr>
                <w:sz w:val="20"/>
                <w:szCs w:val="20"/>
                <w:color w:val="auto"/>
              </w:rPr>
            </w:pPr>
            <w:r>
              <w:rPr>
                <w:rFonts w:ascii="Arial" w:cs="Arial" w:eastAsia="Arial" w:hAnsi="Arial"/>
                <w:sz w:val="18"/>
                <w:szCs w:val="18"/>
                <w:b w:val="1"/>
                <w:bCs w:val="1"/>
                <w:color w:val="auto"/>
              </w:rPr>
              <w:t>60607</w:t>
            </w:r>
          </w:p>
        </w:tc>
      </w:tr>
      <w:tr>
        <w:trPr>
          <w:trHeight w:val="149"/>
        </w:trPr>
        <w:tc>
          <w:tcPr>
            <w:tcW w:w="1960" w:type="dxa"/>
            <w:vAlign w:val="bottom"/>
          </w:tcPr>
          <w:p>
            <w:pPr>
              <w:spacing w:after="0"/>
              <w:rPr>
                <w:sz w:val="12"/>
                <w:szCs w:val="12"/>
                <w:color w:val="auto"/>
              </w:rPr>
            </w:pPr>
          </w:p>
        </w:tc>
        <w:tc>
          <w:tcPr>
            <w:tcW w:w="5340" w:type="dxa"/>
            <w:vAlign w:val="bottom"/>
          </w:tcPr>
          <w:p>
            <w:pPr>
              <w:jc w:val="center"/>
              <w:ind w:right="1782"/>
              <w:spacing w:after="0" w:line="149" w:lineRule="exact"/>
              <w:rPr>
                <w:sz w:val="20"/>
                <w:szCs w:val="20"/>
                <w:color w:val="auto"/>
              </w:rPr>
            </w:pPr>
            <w:r>
              <w:rPr>
                <w:rFonts w:ascii="Arial" w:cs="Arial" w:eastAsia="Arial" w:hAnsi="Arial"/>
                <w:sz w:val="14"/>
                <w:szCs w:val="14"/>
                <w:b w:val="1"/>
                <w:bCs w:val="1"/>
                <w:color w:val="auto"/>
                <w:w w:val="85"/>
              </w:rPr>
              <w:t>(Address of principal executive offices)</w:t>
            </w:r>
          </w:p>
        </w:tc>
      </w:tr>
      <w:tr>
        <w:trPr>
          <w:trHeight w:val="174"/>
        </w:trPr>
        <w:tc>
          <w:tcPr>
            <w:tcW w:w="1960" w:type="dxa"/>
            <w:vAlign w:val="bottom"/>
          </w:tcPr>
          <w:p>
            <w:pPr>
              <w:spacing w:after="0"/>
              <w:rPr>
                <w:sz w:val="15"/>
                <w:szCs w:val="15"/>
                <w:color w:val="auto"/>
              </w:rPr>
            </w:pPr>
          </w:p>
        </w:tc>
        <w:tc>
          <w:tcPr>
            <w:tcW w:w="5340" w:type="dxa"/>
            <w:vAlign w:val="bottom"/>
          </w:tcPr>
          <w:p>
            <w:pPr>
              <w:jc w:val="center"/>
              <w:ind w:right="1802"/>
              <w:spacing w:after="0"/>
              <w:rPr>
                <w:sz w:val="20"/>
                <w:szCs w:val="20"/>
                <w:color w:val="auto"/>
              </w:rPr>
            </w:pPr>
            <w:r>
              <w:rPr>
                <w:rFonts w:ascii="Arial" w:cs="Arial" w:eastAsia="Arial" w:hAnsi="Arial"/>
                <w:sz w:val="14"/>
                <w:szCs w:val="14"/>
                <w:b w:val="1"/>
                <w:bCs w:val="1"/>
                <w:color w:val="auto"/>
                <w:w w:val="89"/>
              </w:rPr>
              <w:t>(Zip Code)</w:t>
            </w:r>
          </w:p>
        </w:tc>
      </w:tr>
      <w:tr>
        <w:trPr>
          <w:trHeight w:val="271"/>
        </w:trPr>
        <w:tc>
          <w:tcPr>
            <w:tcW w:w="1960" w:type="dxa"/>
            <w:vAlign w:val="bottom"/>
          </w:tcPr>
          <w:p>
            <w:pPr>
              <w:spacing w:after="0"/>
              <w:rPr>
                <w:sz w:val="23"/>
                <w:szCs w:val="23"/>
                <w:color w:val="auto"/>
              </w:rPr>
            </w:pPr>
          </w:p>
        </w:tc>
        <w:tc>
          <w:tcPr>
            <w:tcW w:w="5340" w:type="dxa"/>
            <w:vAlign w:val="bottom"/>
          </w:tcPr>
          <w:p>
            <w:pPr>
              <w:jc w:val="right"/>
              <w:ind w:right="2982"/>
              <w:spacing w:after="0"/>
              <w:rPr>
                <w:sz w:val="20"/>
                <w:szCs w:val="20"/>
                <w:color w:val="auto"/>
              </w:rPr>
            </w:pPr>
            <w:r>
              <w:rPr>
                <w:rFonts w:ascii="Arial" w:cs="Arial" w:eastAsia="Arial" w:hAnsi="Arial"/>
                <w:sz w:val="18"/>
                <w:szCs w:val="18"/>
                <w:b w:val="1"/>
                <w:bCs w:val="1"/>
                <w:color w:val="auto"/>
              </w:rPr>
              <w:t>(312) 583-8700</w:t>
            </w:r>
          </w:p>
        </w:tc>
      </w:tr>
      <w:tr>
        <w:trPr>
          <w:trHeight w:val="174"/>
        </w:trPr>
        <w:tc>
          <w:tcPr>
            <w:tcW w:w="1960" w:type="dxa"/>
            <w:vAlign w:val="bottom"/>
          </w:tcPr>
          <w:p>
            <w:pPr>
              <w:spacing w:after="0"/>
              <w:rPr>
                <w:sz w:val="15"/>
                <w:szCs w:val="15"/>
                <w:color w:val="auto"/>
              </w:rPr>
            </w:pPr>
          </w:p>
        </w:tc>
        <w:tc>
          <w:tcPr>
            <w:tcW w:w="5340" w:type="dxa"/>
            <w:vAlign w:val="bottom"/>
          </w:tcPr>
          <w:p>
            <w:pPr>
              <w:jc w:val="center"/>
              <w:ind w:right="1802"/>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120650</wp:posOffset>
            </wp:positionV>
            <wp:extent cx="10890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56"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420"/>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8740" w:type="dxa"/>
            <w:vAlign w:val="bottom"/>
          </w:tcPr>
          <w:p>
            <w:pPr>
              <w:spacing w:after="0" w:line="207" w:lineRule="exact"/>
              <w:rPr>
                <w:sz w:val="20"/>
                <w:szCs w:val="20"/>
                <w:color w:val="auto"/>
              </w:rPr>
            </w:pPr>
            <w:r>
              <w:rPr>
                <w:rFonts w:ascii="Arial" w:cs="Arial" w:eastAsia="Arial" w:hAnsi="Arial"/>
                <w:sz w:val="18"/>
                <w:szCs w:val="18"/>
                <w:color w:val="auto"/>
              </w:rPr>
              <w:t>Large accelerated filer</w:t>
            </w:r>
            <w:r>
              <w:rPr>
                <w:rFonts w:ascii="MS PGothic" w:cs="MS PGothic" w:eastAsia="MS PGothic" w:hAnsi="MS PGothic"/>
                <w:sz w:val="18"/>
                <w:szCs w:val="18"/>
                <w:color w:val="auto"/>
              </w:rPr>
              <w:t>☒</w:t>
            </w:r>
          </w:p>
        </w:tc>
        <w:tc>
          <w:tcPr>
            <w:tcW w:w="2260" w:type="dxa"/>
            <w:vAlign w:val="bottom"/>
          </w:tcPr>
          <w:p>
            <w:pPr>
              <w:ind w:left="10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874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2260" w:type="dxa"/>
            <w:vAlign w:val="bottom"/>
          </w:tcPr>
          <w:p>
            <w:pPr>
              <w:ind w:left="100"/>
              <w:spacing w:after="0"/>
              <w:rPr>
                <w:sz w:val="20"/>
                <w:szCs w:val="20"/>
                <w:color w:val="auto"/>
              </w:rPr>
            </w:pPr>
            <w:r>
              <w:rPr>
                <w:rFonts w:ascii="Arial" w:cs="Arial" w:eastAsia="Arial" w:hAnsi="Arial"/>
                <w:sz w:val="18"/>
                <w:szCs w:val="18"/>
                <w:color w:val="auto"/>
                <w:w w:val="99"/>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8740" w:type="dxa"/>
            <w:vAlign w:val="bottom"/>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20" w:type="dxa"/>
            <w:vAlign w:val="bottom"/>
          </w:tcPr>
          <w:p>
            <w:pPr>
              <w:spacing w:after="0"/>
              <w:rPr>
                <w:sz w:val="24"/>
                <w:szCs w:val="24"/>
                <w:color w:val="auto"/>
              </w:rPr>
            </w:pPr>
          </w:p>
        </w:tc>
      </w:tr>
      <w:tr>
        <w:trPr>
          <w:trHeight w:val="277"/>
        </w:trPr>
        <w:tc>
          <w:tcPr>
            <w:tcW w:w="8740" w:type="dxa"/>
            <w:vAlign w:val="bottom"/>
          </w:tcPr>
          <w:p>
            <w:pPr>
              <w:spacing w:after="0"/>
              <w:rPr>
                <w:sz w:val="20"/>
                <w:szCs w:val="20"/>
                <w:color w:val="auto"/>
              </w:rPr>
            </w:pPr>
            <w:r>
              <w:rPr>
                <w:rFonts w:ascii="Arial" w:cs="Arial" w:eastAsia="Arial" w:hAnsi="Arial"/>
                <w:sz w:val="18"/>
                <w:szCs w:val="18"/>
                <w:color w:val="auto"/>
                <w:w w:val="88"/>
              </w:rPr>
              <w:t>Indicate the number of shares outstanding of each of the issuer’s classes of common stock, as of the latest practicable date.</w:t>
            </w:r>
          </w:p>
        </w:tc>
        <w:tc>
          <w:tcPr>
            <w:tcW w:w="22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97"/>
        </w:trPr>
        <w:tc>
          <w:tcPr>
            <w:tcW w:w="8740" w:type="dxa"/>
            <w:vAlign w:val="bottom"/>
          </w:tcPr>
          <w:p>
            <w:pPr>
              <w:spacing w:after="0"/>
              <w:rPr>
                <w:sz w:val="20"/>
                <w:szCs w:val="20"/>
                <w:color w:val="auto"/>
              </w:rPr>
            </w:pPr>
            <w:r>
              <w:rPr>
                <w:rFonts w:ascii="Arial" w:cs="Arial" w:eastAsia="Arial" w:hAnsi="Arial"/>
                <w:sz w:val="18"/>
                <w:szCs w:val="18"/>
                <w:color w:val="auto"/>
                <w:w w:val="92"/>
              </w:rPr>
              <w:t>As of July 23, 2013, 23,260,109 shares of the registrant’s common stock, par value $0.01 per share, were outstanding.</w:t>
            </w:r>
          </w:p>
        </w:tc>
        <w:tc>
          <w:tcPr>
            <w:tcW w:w="22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10"/>
        </w:trPr>
        <w:tc>
          <w:tcPr>
            <w:tcW w:w="8740" w:type="dxa"/>
            <w:vAlign w:val="bottom"/>
            <w:tcBorders>
              <w:bottom w:val="single" w:sz="8" w:color="auto"/>
            </w:tcBorders>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r>
      <w:tr>
        <w:trPr>
          <w:trHeight w:val="21"/>
        </w:trPr>
        <w:tc>
          <w:tcPr>
            <w:tcW w:w="87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228"/>
        </w:trPr>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340" w:type="dxa"/>
            <w:vAlign w:val="bottom"/>
            <w:gridSpan w:val="8"/>
          </w:tcPr>
          <w:p>
            <w:pPr>
              <w:jc w:val="center"/>
              <w:ind w:right="2200"/>
              <w:spacing w:after="0"/>
              <w:rPr>
                <w:sz w:val="20"/>
                <w:szCs w:val="20"/>
                <w:color w:val="auto"/>
              </w:rPr>
            </w:pPr>
            <w:r>
              <w:rPr>
                <w:rFonts w:ascii="Arial" w:cs="Arial" w:eastAsia="Arial" w:hAnsi="Arial"/>
                <w:sz w:val="18"/>
                <w:szCs w:val="18"/>
                <w:b w:val="1"/>
                <w:bCs w:val="1"/>
                <w:color w:val="auto"/>
                <w:w w:val="97"/>
              </w:rPr>
              <w:t>HURON CONSULTING GROUP INC.</w:t>
            </w: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378"/>
        </w:trPr>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160" w:type="dxa"/>
            <w:vAlign w:val="bottom"/>
            <w:gridSpan w:val="5"/>
          </w:tcPr>
          <w:p>
            <w:pPr>
              <w:jc w:val="center"/>
              <w:ind w:right="3360"/>
              <w:spacing w:after="0"/>
              <w:rPr>
                <w:sz w:val="20"/>
                <w:szCs w:val="20"/>
                <w:color w:val="auto"/>
              </w:rPr>
            </w:pPr>
            <w:r>
              <w:rPr>
                <w:rFonts w:ascii="Arial" w:cs="Arial" w:eastAsia="Arial" w:hAnsi="Arial"/>
                <w:sz w:val="18"/>
                <w:szCs w:val="18"/>
                <w:b w:val="1"/>
                <w:bCs w:val="1"/>
                <w:color w:val="auto"/>
              </w:rPr>
              <w:t>INDEX</w:t>
            </w: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19"/>
        </w:trPr>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20" w:type="dxa"/>
            <w:vAlign w:val="bottom"/>
            <w:gridSpan w:val="2"/>
          </w:tcPr>
          <w:p>
            <w:pPr>
              <w:ind w:left="1460"/>
              <w:spacing w:after="0"/>
              <w:rPr>
                <w:sz w:val="20"/>
                <w:szCs w:val="20"/>
                <w:color w:val="auto"/>
              </w:rPr>
            </w:pPr>
            <w:r>
              <w:rPr>
                <w:rFonts w:ascii="Arial" w:cs="Arial" w:eastAsia="Arial" w:hAnsi="Arial"/>
                <w:sz w:val="18"/>
                <w:szCs w:val="18"/>
                <w:b w:val="1"/>
                <w:bCs w:val="1"/>
                <w:color w:val="auto"/>
                <w:w w:val="78"/>
              </w:rPr>
              <w:t>Page</w:t>
            </w:r>
          </w:p>
        </w:tc>
      </w:tr>
      <w:tr>
        <w:trPr>
          <w:trHeight w:val="171"/>
        </w:trPr>
        <w:tc>
          <w:tcPr>
            <w:tcW w:w="9360" w:type="dxa"/>
            <w:vAlign w:val="bottom"/>
            <w:gridSpan w:val="21"/>
          </w:tcPr>
          <w:p>
            <w:pPr>
              <w:spacing w:after="0" w:line="171"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146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12"/>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Item 1.</w:t>
            </w:r>
          </w:p>
        </w:tc>
        <w:tc>
          <w:tcPr>
            <w:tcW w:w="778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w:t>
              </w:r>
            </w:hyperlink>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5"/>
              </w:rPr>
            </w:pPr>
            <w:hyperlink w:anchor="page3">
              <w:r>
                <w:rPr>
                  <w:rFonts w:ascii="Arial" w:cs="Arial" w:eastAsia="Arial" w:hAnsi="Arial"/>
                  <w:sz w:val="18"/>
                  <w:szCs w:val="18"/>
                  <w:color w:val="0000EE"/>
                  <w:w w:val="85"/>
                </w:rPr>
                <w:t>Consolidated Balance Sheets</w:t>
              </w:r>
            </w:hyperlink>
          </w:p>
        </w:tc>
        <w:tc>
          <w:tcPr>
            <w:tcW w:w="180" w:type="dxa"/>
            <w:vAlign w:val="bottom"/>
            <w:tcBorders>
              <w:top w:val="single" w:sz="8" w:color="0000EE"/>
            </w:tcBorders>
            <w:gridSpan w:val="2"/>
          </w:tcPr>
          <w:p>
            <w:pPr>
              <w:spacing w:after="0"/>
              <w:rPr>
                <w:sz w:val="17"/>
                <w:szCs w:val="17"/>
                <w:color w:val="auto"/>
              </w:rPr>
            </w:pPr>
          </w:p>
        </w:tc>
        <w:tc>
          <w:tcPr>
            <w:tcW w:w="5340" w:type="dxa"/>
            <w:vAlign w:val="bottom"/>
            <w:gridSpan w:val="8"/>
          </w:tcPr>
          <w:p>
            <w:pPr>
              <w:spacing w:after="0"/>
              <w:rPr>
                <w:sz w:val="17"/>
                <w:szCs w:val="17"/>
                <w:color w:val="auto"/>
              </w:rPr>
            </w:pPr>
          </w:p>
        </w:tc>
        <w:tc>
          <w:tcPr>
            <w:tcW w:w="1820" w:type="dxa"/>
            <w:vAlign w:val="bottom"/>
            <w:gridSpan w:val="2"/>
          </w:tcPr>
          <w:p>
            <w:pPr>
              <w:jc w:val="center"/>
              <w:ind w:left="1372"/>
              <w:spacing w:after="0" w:line="196" w:lineRule="exact"/>
              <w:rPr>
                <w:sz w:val="20"/>
                <w:szCs w:val="20"/>
                <w:color w:val="auto"/>
              </w:rPr>
            </w:pPr>
            <w:r>
              <w:rPr>
                <w:rFonts w:ascii="Arial" w:cs="Arial" w:eastAsia="Arial" w:hAnsi="Arial"/>
                <w:sz w:val="18"/>
                <w:szCs w:val="18"/>
                <w:color w:val="auto"/>
                <w:w w:val="79"/>
              </w:rPr>
              <w:t>1</w:t>
            </w:r>
          </w:p>
        </w:tc>
      </w:tr>
      <w:tr>
        <w:trPr>
          <w:trHeight w:val="196"/>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6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Consolidated Statements of Earnings and Other Comprehensive Income</w:t>
              </w:r>
            </w:hyperlink>
          </w:p>
        </w:tc>
        <w:tc>
          <w:tcPr>
            <w:tcW w:w="2500" w:type="dxa"/>
            <w:vAlign w:val="bottom"/>
            <w:gridSpan w:val="2"/>
          </w:tcPr>
          <w:p>
            <w:pPr>
              <w:spacing w:after="0"/>
              <w:rPr>
                <w:sz w:val="17"/>
                <w:szCs w:val="17"/>
                <w:color w:val="auto"/>
              </w:rPr>
            </w:pPr>
          </w:p>
        </w:tc>
        <w:tc>
          <w:tcPr>
            <w:tcW w:w="1820" w:type="dxa"/>
            <w:vAlign w:val="bottom"/>
            <w:gridSpan w:val="2"/>
          </w:tcPr>
          <w:p>
            <w:pPr>
              <w:jc w:val="center"/>
              <w:ind w:left="1372"/>
              <w:spacing w:after="0" w:line="196" w:lineRule="exact"/>
              <w:rPr>
                <w:sz w:val="20"/>
                <w:szCs w:val="20"/>
                <w:color w:val="auto"/>
              </w:rPr>
            </w:pPr>
            <w:r>
              <w:rPr>
                <w:rFonts w:ascii="Arial" w:cs="Arial" w:eastAsia="Arial" w:hAnsi="Arial"/>
                <w:sz w:val="18"/>
                <w:szCs w:val="18"/>
                <w:color w:val="auto"/>
                <w:w w:val="79"/>
              </w:rPr>
              <w:t>2</w:t>
            </w:r>
          </w:p>
        </w:tc>
      </w:tr>
      <w:tr>
        <w:trPr>
          <w:trHeight w:val="196"/>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Consolidated Statement of Stockholders’ Equity</w:t>
              </w:r>
            </w:hyperlink>
          </w:p>
        </w:tc>
        <w:tc>
          <w:tcPr>
            <w:tcW w:w="4160" w:type="dxa"/>
            <w:vAlign w:val="bottom"/>
            <w:gridSpan w:val="5"/>
          </w:tcPr>
          <w:p>
            <w:pPr>
              <w:spacing w:after="0"/>
              <w:rPr>
                <w:sz w:val="17"/>
                <w:szCs w:val="17"/>
                <w:color w:val="auto"/>
              </w:rPr>
            </w:pPr>
          </w:p>
        </w:tc>
        <w:tc>
          <w:tcPr>
            <w:tcW w:w="1820" w:type="dxa"/>
            <w:vAlign w:val="bottom"/>
            <w:gridSpan w:val="2"/>
          </w:tcPr>
          <w:p>
            <w:pPr>
              <w:jc w:val="center"/>
              <w:ind w:left="1372"/>
              <w:spacing w:after="0" w:line="196" w:lineRule="exact"/>
              <w:rPr>
                <w:sz w:val="20"/>
                <w:szCs w:val="20"/>
                <w:color w:val="auto"/>
              </w:rPr>
            </w:pPr>
            <w:r>
              <w:rPr>
                <w:rFonts w:ascii="Arial" w:cs="Arial" w:eastAsia="Arial" w:hAnsi="Arial"/>
                <w:sz w:val="18"/>
                <w:szCs w:val="18"/>
                <w:color w:val="auto"/>
                <w:w w:val="79"/>
              </w:rPr>
              <w:t>3</w:t>
            </w:r>
          </w:p>
        </w:tc>
      </w:tr>
      <w:tr>
        <w:trPr>
          <w:trHeight w:val="196"/>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0" w:type="dxa"/>
            <w:vAlign w:val="bottom"/>
            <w:tcBorders>
              <w:bottom w:val="single" w:sz="8" w:color="0000EE"/>
            </w:tcBorders>
            <w:gridSpan w:val="11"/>
          </w:tcPr>
          <w:p>
            <w:pPr>
              <w:spacing w:after="0" w:line="19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Consolidated Statements of Cash Flows</w:t>
              </w:r>
            </w:hyperlink>
          </w:p>
        </w:tc>
        <w:tc>
          <w:tcPr>
            <w:tcW w:w="4760" w:type="dxa"/>
            <w:vAlign w:val="bottom"/>
            <w:gridSpan w:val="7"/>
          </w:tcPr>
          <w:p>
            <w:pPr>
              <w:spacing w:after="0"/>
              <w:rPr>
                <w:sz w:val="17"/>
                <w:szCs w:val="17"/>
                <w:color w:val="auto"/>
              </w:rPr>
            </w:pPr>
          </w:p>
        </w:tc>
        <w:tc>
          <w:tcPr>
            <w:tcW w:w="1820" w:type="dxa"/>
            <w:vAlign w:val="bottom"/>
            <w:gridSpan w:val="2"/>
          </w:tcPr>
          <w:p>
            <w:pPr>
              <w:jc w:val="center"/>
              <w:ind w:left="1372"/>
              <w:spacing w:after="0" w:line="196" w:lineRule="exact"/>
              <w:rPr>
                <w:sz w:val="20"/>
                <w:szCs w:val="20"/>
                <w:color w:val="auto"/>
              </w:rPr>
            </w:pPr>
            <w:r>
              <w:rPr>
                <w:rFonts w:ascii="Arial" w:cs="Arial" w:eastAsia="Arial" w:hAnsi="Arial"/>
                <w:sz w:val="18"/>
                <w:szCs w:val="18"/>
                <w:color w:val="auto"/>
                <w:w w:val="79"/>
              </w:rPr>
              <w:t>4</w:t>
            </w:r>
          </w:p>
        </w:tc>
      </w:tr>
      <w:tr>
        <w:trPr>
          <w:trHeight w:val="196"/>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8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Consolidated Financial Statements</w:t>
              </w:r>
            </w:hyperlink>
          </w:p>
        </w:tc>
        <w:tc>
          <w:tcPr>
            <w:tcW w:w="4480" w:type="dxa"/>
            <w:vAlign w:val="bottom"/>
            <w:gridSpan w:val="6"/>
          </w:tcPr>
          <w:p>
            <w:pPr>
              <w:spacing w:after="0"/>
              <w:rPr>
                <w:sz w:val="17"/>
                <w:szCs w:val="17"/>
                <w:color w:val="auto"/>
              </w:rPr>
            </w:pPr>
          </w:p>
        </w:tc>
        <w:tc>
          <w:tcPr>
            <w:tcW w:w="1820" w:type="dxa"/>
            <w:vAlign w:val="bottom"/>
            <w:gridSpan w:val="2"/>
          </w:tcPr>
          <w:p>
            <w:pPr>
              <w:jc w:val="center"/>
              <w:ind w:left="1372"/>
              <w:spacing w:after="0" w:line="196" w:lineRule="exact"/>
              <w:rPr>
                <w:sz w:val="20"/>
                <w:szCs w:val="20"/>
                <w:color w:val="auto"/>
              </w:rPr>
            </w:pPr>
            <w:r>
              <w:rPr>
                <w:rFonts w:ascii="Arial" w:cs="Arial" w:eastAsia="Arial" w:hAnsi="Arial"/>
                <w:sz w:val="18"/>
                <w:szCs w:val="18"/>
                <w:color w:val="auto"/>
                <w:w w:val="79"/>
              </w:rPr>
              <w:t>5</w:t>
            </w:r>
          </w:p>
        </w:tc>
      </w:tr>
      <w:tr>
        <w:trPr>
          <w:trHeight w:val="412"/>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Item 2.</w:t>
            </w:r>
          </w:p>
        </w:tc>
        <w:tc>
          <w:tcPr>
            <w:tcW w:w="7780" w:type="dxa"/>
            <w:vAlign w:val="bottom"/>
            <w:gridSpan w:val="19"/>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1820" w:type="dxa"/>
            <w:vAlign w:val="bottom"/>
            <w:gridSpan w:val="2"/>
          </w:tcPr>
          <w:p>
            <w:pPr>
              <w:jc w:val="center"/>
              <w:ind w:left="1392"/>
              <w:spacing w:after="0"/>
              <w:rPr>
                <w:sz w:val="20"/>
                <w:szCs w:val="20"/>
                <w:color w:val="auto"/>
              </w:rPr>
            </w:pPr>
            <w:r>
              <w:rPr>
                <w:rFonts w:ascii="Arial" w:cs="Arial" w:eastAsia="Arial" w:hAnsi="Arial"/>
                <w:sz w:val="18"/>
                <w:szCs w:val="18"/>
                <w:color w:val="auto"/>
                <w:w w:val="89"/>
              </w:rPr>
              <w:t>18</w:t>
            </w:r>
          </w:p>
        </w:tc>
      </w:tr>
      <w:tr>
        <w:trPr>
          <w:trHeight w:val="412"/>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1480" w:type="dxa"/>
            <w:vAlign w:val="bottom"/>
          </w:tcPr>
          <w:p>
            <w:pPr>
              <w:spacing w:after="0"/>
              <w:rPr>
                <w:sz w:val="24"/>
                <w:szCs w:val="24"/>
                <w:color w:val="auto"/>
              </w:rPr>
            </w:pPr>
          </w:p>
        </w:tc>
        <w:tc>
          <w:tcPr>
            <w:tcW w:w="1820" w:type="dxa"/>
            <w:vAlign w:val="bottom"/>
            <w:gridSpan w:val="2"/>
          </w:tcPr>
          <w:p>
            <w:pPr>
              <w:jc w:val="center"/>
              <w:ind w:left="1392"/>
              <w:spacing w:after="0"/>
              <w:rPr>
                <w:sz w:val="20"/>
                <w:szCs w:val="20"/>
                <w:color w:val="auto"/>
              </w:rPr>
            </w:pPr>
            <w:r>
              <w:rPr>
                <w:rFonts w:ascii="Arial" w:cs="Arial" w:eastAsia="Arial" w:hAnsi="Arial"/>
                <w:sz w:val="18"/>
                <w:szCs w:val="18"/>
                <w:color w:val="auto"/>
                <w:w w:val="89"/>
              </w:rPr>
              <w:t>37</w:t>
            </w:r>
          </w:p>
        </w:tc>
      </w:tr>
      <w:tr>
        <w:trPr>
          <w:trHeight w:val="412"/>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Item 4.</w:t>
            </w:r>
          </w:p>
        </w:tc>
        <w:tc>
          <w:tcPr>
            <w:tcW w:w="7780" w:type="dxa"/>
            <w:vAlign w:val="bottom"/>
            <w:gridSpan w:val="19"/>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Controls and Procedures</w:t>
              </w:r>
            </w:hyperlink>
          </w:p>
        </w:tc>
        <w:tc>
          <w:tcPr>
            <w:tcW w:w="1820" w:type="dxa"/>
            <w:vAlign w:val="bottom"/>
            <w:gridSpan w:val="2"/>
          </w:tcPr>
          <w:p>
            <w:pPr>
              <w:jc w:val="center"/>
              <w:ind w:left="1392"/>
              <w:spacing w:after="0"/>
              <w:rPr>
                <w:sz w:val="20"/>
                <w:szCs w:val="20"/>
                <w:color w:val="auto"/>
              </w:rPr>
            </w:pPr>
            <w:r>
              <w:rPr>
                <w:rFonts w:ascii="Arial" w:cs="Arial" w:eastAsia="Arial" w:hAnsi="Arial"/>
                <w:sz w:val="18"/>
                <w:szCs w:val="18"/>
                <w:color w:val="auto"/>
                <w:w w:val="89"/>
              </w:rPr>
              <w:t>38</w:t>
            </w:r>
          </w:p>
        </w:tc>
      </w:tr>
      <w:tr>
        <w:trPr>
          <w:trHeight w:val="20"/>
        </w:trPr>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354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12"/>
        </w:trPr>
        <w:tc>
          <w:tcPr>
            <w:tcW w:w="2100" w:type="dxa"/>
            <w:vAlign w:val="bottom"/>
            <w:tcBorders>
              <w:bottom w:val="single" w:sz="8" w:color="0000EE"/>
            </w:tcBorders>
            <w:gridSpan w:val="4"/>
          </w:tcPr>
          <w:p>
            <w:pPr>
              <w:spacing w:after="0"/>
              <w:rPr>
                <w:rFonts w:ascii="Arial" w:cs="Arial" w:eastAsia="Arial" w:hAnsi="Arial"/>
                <w:sz w:val="18"/>
                <w:szCs w:val="18"/>
                <w:b w:val="1"/>
                <w:bCs w:val="1"/>
                <w:color w:val="0000EE"/>
                <w:w w:val="93"/>
              </w:rPr>
            </w:pPr>
            <w:hyperlink w:anchor="page40">
              <w:r>
                <w:rPr>
                  <w:rFonts w:ascii="Arial" w:cs="Arial" w:eastAsia="Arial" w:hAnsi="Arial"/>
                  <w:sz w:val="18"/>
                  <w:szCs w:val="18"/>
                  <w:b w:val="1"/>
                  <w:bCs w:val="1"/>
                  <w:color w:val="0000EE"/>
                  <w:w w:val="93"/>
                </w:rPr>
                <w:t>Part II – Other Information</w:t>
              </w:r>
            </w:hyperlink>
          </w:p>
        </w:tc>
        <w:tc>
          <w:tcPr>
            <w:tcW w:w="7260" w:type="dxa"/>
            <w:vAlign w:val="bottom"/>
            <w:gridSpan w:val="17"/>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12"/>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Item 1.</w:t>
            </w:r>
          </w:p>
        </w:tc>
        <w:tc>
          <w:tcPr>
            <w:tcW w:w="7780" w:type="dxa"/>
            <w:vAlign w:val="bottom"/>
            <w:gridSpan w:val="19"/>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Legal Proceedings</w:t>
              </w:r>
            </w:hyperlink>
          </w:p>
        </w:tc>
        <w:tc>
          <w:tcPr>
            <w:tcW w:w="1820" w:type="dxa"/>
            <w:vAlign w:val="bottom"/>
            <w:gridSpan w:val="2"/>
          </w:tcPr>
          <w:p>
            <w:pPr>
              <w:jc w:val="center"/>
              <w:ind w:left="1392"/>
              <w:spacing w:after="0"/>
              <w:rPr>
                <w:sz w:val="20"/>
                <w:szCs w:val="20"/>
                <w:color w:val="auto"/>
              </w:rPr>
            </w:pPr>
            <w:r>
              <w:rPr>
                <w:rFonts w:ascii="Arial" w:cs="Arial" w:eastAsia="Arial" w:hAnsi="Arial"/>
                <w:sz w:val="18"/>
                <w:szCs w:val="18"/>
                <w:color w:val="auto"/>
                <w:w w:val="89"/>
              </w:rPr>
              <w:t>38</w:t>
            </w:r>
          </w:p>
        </w:tc>
      </w:tr>
      <w:tr>
        <w:trPr>
          <w:trHeight w:val="412"/>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7"/>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Risk Factors</w:t>
              </w:r>
            </w:hyperlink>
          </w:p>
        </w:tc>
        <w:tc>
          <w:tcPr>
            <w:tcW w:w="6480" w:type="dxa"/>
            <w:vAlign w:val="bottom"/>
            <w:gridSpan w:val="12"/>
          </w:tcPr>
          <w:p>
            <w:pPr>
              <w:spacing w:after="0"/>
              <w:rPr>
                <w:sz w:val="24"/>
                <w:szCs w:val="24"/>
                <w:color w:val="auto"/>
              </w:rPr>
            </w:pPr>
          </w:p>
        </w:tc>
        <w:tc>
          <w:tcPr>
            <w:tcW w:w="1820" w:type="dxa"/>
            <w:vAlign w:val="bottom"/>
            <w:gridSpan w:val="2"/>
          </w:tcPr>
          <w:p>
            <w:pPr>
              <w:jc w:val="center"/>
              <w:ind w:left="1392"/>
              <w:spacing w:after="0"/>
              <w:rPr>
                <w:sz w:val="20"/>
                <w:szCs w:val="20"/>
                <w:color w:val="auto"/>
              </w:rPr>
            </w:pPr>
            <w:r>
              <w:rPr>
                <w:rFonts w:ascii="Arial" w:cs="Arial" w:eastAsia="Arial" w:hAnsi="Arial"/>
                <w:sz w:val="18"/>
                <w:szCs w:val="18"/>
                <w:color w:val="auto"/>
                <w:w w:val="89"/>
              </w:rPr>
              <w:t>38</w:t>
            </w:r>
          </w:p>
        </w:tc>
      </w:tr>
      <w:tr>
        <w:trPr>
          <w:trHeight w:val="20"/>
        </w:trPr>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3540" w:type="dxa"/>
            <w:vAlign w:val="bottom"/>
            <w:gridSpan w:val="4"/>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r>
      <w:tr>
        <w:trPr>
          <w:trHeight w:val="412"/>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Item 2.</w:t>
            </w:r>
          </w:p>
        </w:tc>
        <w:tc>
          <w:tcPr>
            <w:tcW w:w="7780" w:type="dxa"/>
            <w:vAlign w:val="bottom"/>
            <w:gridSpan w:val="1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Unregistered Sales of Equity Securities and Use of Proceeds</w:t>
              </w:r>
            </w:hyperlink>
          </w:p>
        </w:tc>
        <w:tc>
          <w:tcPr>
            <w:tcW w:w="1820" w:type="dxa"/>
            <w:vAlign w:val="bottom"/>
            <w:gridSpan w:val="2"/>
          </w:tcPr>
          <w:p>
            <w:pPr>
              <w:jc w:val="center"/>
              <w:ind w:left="1392"/>
              <w:spacing w:after="0"/>
              <w:rPr>
                <w:sz w:val="20"/>
                <w:szCs w:val="20"/>
                <w:color w:val="auto"/>
              </w:rPr>
            </w:pPr>
            <w:r>
              <w:rPr>
                <w:rFonts w:ascii="Arial" w:cs="Arial" w:eastAsia="Arial" w:hAnsi="Arial"/>
                <w:sz w:val="18"/>
                <w:szCs w:val="18"/>
                <w:color w:val="auto"/>
                <w:w w:val="89"/>
              </w:rPr>
              <w:t>39</w:t>
            </w:r>
          </w:p>
        </w:tc>
      </w:tr>
      <w:tr>
        <w:trPr>
          <w:trHeight w:val="412"/>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8"/>
              </w:rPr>
            </w:pPr>
            <w:hyperlink w:anchor="page41">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5"/>
          </w:tcPr>
          <w:p>
            <w:pPr>
              <w:spacing w:after="0"/>
              <w:rPr>
                <w:sz w:val="24"/>
                <w:szCs w:val="24"/>
                <w:color w:val="auto"/>
              </w:rPr>
            </w:pPr>
          </w:p>
        </w:tc>
        <w:tc>
          <w:tcPr>
            <w:tcW w:w="3540" w:type="dxa"/>
            <w:vAlign w:val="bottom"/>
            <w:gridSpan w:val="4"/>
          </w:tcPr>
          <w:p>
            <w:pPr>
              <w:spacing w:after="0"/>
              <w:rPr>
                <w:sz w:val="24"/>
                <w:szCs w:val="24"/>
                <w:color w:val="auto"/>
              </w:rPr>
            </w:pPr>
          </w:p>
        </w:tc>
        <w:tc>
          <w:tcPr>
            <w:tcW w:w="1820" w:type="dxa"/>
            <w:vAlign w:val="bottom"/>
            <w:gridSpan w:val="2"/>
          </w:tcPr>
          <w:p>
            <w:pPr>
              <w:jc w:val="center"/>
              <w:ind w:left="1392"/>
              <w:spacing w:after="0"/>
              <w:rPr>
                <w:sz w:val="20"/>
                <w:szCs w:val="20"/>
                <w:color w:val="auto"/>
              </w:rPr>
            </w:pPr>
            <w:r>
              <w:rPr>
                <w:rFonts w:ascii="Arial" w:cs="Arial" w:eastAsia="Arial" w:hAnsi="Arial"/>
                <w:sz w:val="18"/>
                <w:szCs w:val="18"/>
                <w:color w:val="auto"/>
                <w:w w:val="89"/>
              </w:rPr>
              <w:t>39</w:t>
            </w:r>
          </w:p>
        </w:tc>
      </w:tr>
      <w:tr>
        <w:trPr>
          <w:trHeight w:val="412"/>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Item 4.</w:t>
            </w:r>
          </w:p>
        </w:tc>
        <w:tc>
          <w:tcPr>
            <w:tcW w:w="7780" w:type="dxa"/>
            <w:vAlign w:val="bottom"/>
            <w:gridSpan w:val="1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Mine Safety Disclosures</w:t>
              </w:r>
            </w:hyperlink>
          </w:p>
        </w:tc>
        <w:tc>
          <w:tcPr>
            <w:tcW w:w="1820" w:type="dxa"/>
            <w:vAlign w:val="bottom"/>
            <w:gridSpan w:val="2"/>
          </w:tcPr>
          <w:p>
            <w:pPr>
              <w:jc w:val="center"/>
              <w:ind w:left="1392"/>
              <w:spacing w:after="0"/>
              <w:rPr>
                <w:sz w:val="20"/>
                <w:szCs w:val="20"/>
                <w:color w:val="auto"/>
              </w:rPr>
            </w:pPr>
            <w:r>
              <w:rPr>
                <w:rFonts w:ascii="Arial" w:cs="Arial" w:eastAsia="Arial" w:hAnsi="Arial"/>
                <w:sz w:val="18"/>
                <w:szCs w:val="18"/>
                <w:color w:val="auto"/>
                <w:w w:val="89"/>
              </w:rPr>
              <w:t>39</w:t>
            </w:r>
          </w:p>
        </w:tc>
      </w:tr>
      <w:tr>
        <w:trPr>
          <w:trHeight w:val="412"/>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Item 5.</w:t>
            </w:r>
          </w:p>
        </w:tc>
        <w:tc>
          <w:tcPr>
            <w:tcW w:w="1720" w:type="dxa"/>
            <w:vAlign w:val="bottom"/>
            <w:tcBorders>
              <w:top w:val="single" w:sz="8" w:color="0000EE"/>
            </w:tcBorders>
            <w:gridSpan w:val="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Other Information</w:t>
              </w:r>
            </w:hyperlink>
          </w:p>
        </w:tc>
        <w:tc>
          <w:tcPr>
            <w:tcW w:w="6060" w:type="dxa"/>
            <w:vAlign w:val="bottom"/>
            <w:gridSpan w:val="11"/>
          </w:tcPr>
          <w:p>
            <w:pPr>
              <w:spacing w:after="0"/>
              <w:rPr>
                <w:sz w:val="24"/>
                <w:szCs w:val="24"/>
                <w:color w:val="auto"/>
              </w:rPr>
            </w:pPr>
          </w:p>
        </w:tc>
        <w:tc>
          <w:tcPr>
            <w:tcW w:w="1820" w:type="dxa"/>
            <w:vAlign w:val="bottom"/>
            <w:gridSpan w:val="2"/>
          </w:tcPr>
          <w:p>
            <w:pPr>
              <w:jc w:val="center"/>
              <w:ind w:left="1392"/>
              <w:spacing w:after="0"/>
              <w:rPr>
                <w:sz w:val="20"/>
                <w:szCs w:val="20"/>
                <w:color w:val="auto"/>
              </w:rPr>
            </w:pPr>
            <w:r>
              <w:rPr>
                <w:rFonts w:ascii="Arial" w:cs="Arial" w:eastAsia="Arial" w:hAnsi="Arial"/>
                <w:sz w:val="18"/>
                <w:szCs w:val="18"/>
                <w:color w:val="auto"/>
                <w:w w:val="89"/>
              </w:rPr>
              <w:t>39</w:t>
            </w:r>
          </w:p>
        </w:tc>
      </w:tr>
      <w:tr>
        <w:trPr>
          <w:trHeight w:val="412"/>
        </w:trPr>
        <w:tc>
          <w:tcPr>
            <w:tcW w:w="1580" w:type="dxa"/>
            <w:vAlign w:val="bottom"/>
            <w:gridSpan w:val="2"/>
          </w:tcPr>
          <w:p>
            <w:pPr>
              <w:ind w:left="440"/>
              <w:spacing w:after="0"/>
              <w:rPr>
                <w:sz w:val="20"/>
                <w:szCs w:val="20"/>
                <w:color w:val="auto"/>
              </w:rPr>
            </w:pPr>
            <w:r>
              <w:rPr>
                <w:rFonts w:ascii="Arial" w:cs="Arial" w:eastAsia="Arial" w:hAnsi="Arial"/>
                <w:sz w:val="18"/>
                <w:szCs w:val="18"/>
                <w:color w:val="auto"/>
              </w:rPr>
              <w:t>Item 6.</w:t>
            </w:r>
          </w:p>
        </w:tc>
        <w:tc>
          <w:tcPr>
            <w:tcW w:w="1280" w:type="dxa"/>
            <w:vAlign w:val="bottom"/>
            <w:tcBorders>
              <w:top w:val="single" w:sz="8" w:color="0000EE"/>
            </w:tcBorders>
            <w:gridSpan w:val="6"/>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Exhibits</w:t>
              </w:r>
            </w:hyperlink>
          </w:p>
        </w:tc>
        <w:tc>
          <w:tcPr>
            <w:tcW w:w="6500" w:type="dxa"/>
            <w:vAlign w:val="bottom"/>
            <w:gridSpan w:val="13"/>
          </w:tcPr>
          <w:p>
            <w:pPr>
              <w:spacing w:after="0"/>
              <w:rPr>
                <w:sz w:val="24"/>
                <w:szCs w:val="24"/>
                <w:color w:val="auto"/>
              </w:rPr>
            </w:pPr>
          </w:p>
        </w:tc>
        <w:tc>
          <w:tcPr>
            <w:tcW w:w="1820" w:type="dxa"/>
            <w:vAlign w:val="bottom"/>
            <w:gridSpan w:val="2"/>
          </w:tcPr>
          <w:p>
            <w:pPr>
              <w:jc w:val="center"/>
              <w:ind w:left="1392"/>
              <w:spacing w:after="0"/>
              <w:rPr>
                <w:sz w:val="20"/>
                <w:szCs w:val="20"/>
                <w:color w:val="auto"/>
              </w:rPr>
            </w:pPr>
            <w:r>
              <w:rPr>
                <w:rFonts w:ascii="Arial" w:cs="Arial" w:eastAsia="Arial" w:hAnsi="Arial"/>
                <w:sz w:val="18"/>
                <w:szCs w:val="18"/>
                <w:color w:val="auto"/>
                <w:w w:val="89"/>
              </w:rPr>
              <w:t>40</w:t>
            </w:r>
          </w:p>
        </w:tc>
      </w:tr>
      <w:tr>
        <w:trPr>
          <w:trHeight w:val="412"/>
        </w:trPr>
        <w:tc>
          <w:tcPr>
            <w:tcW w:w="740" w:type="dxa"/>
            <w:vAlign w:val="bottom"/>
            <w:tcBorders>
              <w:bottom w:val="single" w:sz="8" w:color="0000EE"/>
            </w:tcBorders>
          </w:tcPr>
          <w:p>
            <w:pPr>
              <w:spacing w:after="0"/>
              <w:rPr>
                <w:rFonts w:ascii="Arial" w:cs="Arial" w:eastAsia="Arial" w:hAnsi="Arial"/>
                <w:sz w:val="18"/>
                <w:szCs w:val="18"/>
                <w:b w:val="1"/>
                <w:bCs w:val="1"/>
                <w:color w:val="0000EE"/>
                <w:w w:val="86"/>
              </w:rPr>
            </w:pPr>
            <w:hyperlink w:anchor="page43">
              <w:r>
                <w:rPr>
                  <w:rFonts w:ascii="Arial" w:cs="Arial" w:eastAsia="Arial" w:hAnsi="Arial"/>
                  <w:sz w:val="18"/>
                  <w:szCs w:val="18"/>
                  <w:b w:val="1"/>
                  <w:bCs w:val="1"/>
                  <w:color w:val="0000EE"/>
                  <w:w w:val="86"/>
                </w:rPr>
                <w:t>Signature</w:t>
              </w:r>
            </w:hyperlink>
          </w:p>
        </w:tc>
        <w:tc>
          <w:tcPr>
            <w:tcW w:w="84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20" w:type="dxa"/>
            <w:vAlign w:val="bottom"/>
            <w:gridSpan w:val="2"/>
          </w:tcPr>
          <w:p>
            <w:pPr>
              <w:jc w:val="center"/>
              <w:ind w:left="1392"/>
              <w:spacing w:after="0"/>
              <w:rPr>
                <w:sz w:val="20"/>
                <w:szCs w:val="20"/>
                <w:color w:val="auto"/>
              </w:rPr>
            </w:pPr>
            <w:r>
              <w:rPr>
                <w:rFonts w:ascii="Arial" w:cs="Arial" w:eastAsia="Arial" w:hAnsi="Arial"/>
                <w:sz w:val="18"/>
                <w:szCs w:val="18"/>
                <w:color w:val="auto"/>
                <w:w w:val="89"/>
              </w:rPr>
              <w:t>41</w:t>
            </w:r>
          </w:p>
        </w:tc>
      </w:tr>
    </w:tbl>
    <w:p>
      <w:pPr>
        <w:sectPr>
          <w:pgSz w:w="11900" w:h="16838" w:orient="portrait"/>
          <w:cols w:equalWidth="0" w:num="1">
            <w:col w:w="11300"/>
          </w:cols>
          <w:pgMar w:left="240" w:top="459" w:right="3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292"/>
              <w:spacing w:after="0"/>
              <w:rPr>
                <w:sz w:val="20"/>
                <w:szCs w:val="20"/>
                <w:color w:val="auto"/>
              </w:rPr>
            </w:pPr>
            <w:r>
              <w:rPr>
                <w:rFonts w:ascii="Arial" w:cs="Arial" w:eastAsia="Arial" w:hAnsi="Arial"/>
                <w:sz w:val="18"/>
                <w:szCs w:val="18"/>
                <w:b w:val="1"/>
                <w:bCs w:val="1"/>
                <w:color w:val="auto"/>
                <w:w w:val="97"/>
              </w:rPr>
              <w:t>June 30,</w:t>
            </w:r>
          </w:p>
        </w:tc>
        <w:tc>
          <w:tcPr>
            <w:tcW w:w="520" w:type="dxa"/>
            <w:vAlign w:val="bottom"/>
          </w:tcPr>
          <w:p>
            <w:pPr>
              <w:spacing w:after="0"/>
              <w:rPr>
                <w:sz w:val="18"/>
                <w:szCs w:val="18"/>
                <w:color w:val="auto"/>
              </w:rPr>
            </w:pPr>
          </w:p>
        </w:tc>
        <w:tc>
          <w:tcPr>
            <w:tcW w:w="1460" w:type="dxa"/>
            <w:vAlign w:val="bottom"/>
            <w:gridSpan w:val="3"/>
          </w:tcPr>
          <w:p>
            <w:pPr>
              <w:ind w:left="1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2013</w:t>
            </w:r>
          </w:p>
        </w:tc>
        <w:tc>
          <w:tcPr>
            <w:tcW w:w="5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4,608</w:t>
            </w:r>
          </w:p>
        </w:tc>
        <w:tc>
          <w:tcPr>
            <w:tcW w:w="8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Receivables from clients, net</w:t>
            </w:r>
          </w:p>
        </w:tc>
        <w:tc>
          <w:tcPr>
            <w:tcW w:w="260" w:type="dxa"/>
            <w:vAlign w:val="bottom"/>
          </w:tcPr>
          <w:p>
            <w:pPr>
              <w:spacing w:after="0"/>
              <w:rPr>
                <w:sz w:val="18"/>
                <w:szCs w:val="18"/>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90,671</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97,510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Unbilled services, net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77,795</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Income tax receivable</w:t>
            </w:r>
          </w:p>
        </w:tc>
        <w:tc>
          <w:tcPr>
            <w:tcW w:w="260" w:type="dxa"/>
            <w:vAlign w:val="bottom"/>
          </w:tcPr>
          <w:p>
            <w:pPr>
              <w:spacing w:after="0"/>
              <w:rPr>
                <w:sz w:val="18"/>
                <w:szCs w:val="18"/>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2,271</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 net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12,432</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16,688</w:t>
            </w:r>
          </w:p>
        </w:tc>
        <w:tc>
          <w:tcPr>
            <w:tcW w:w="5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204,465</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8"/>
                <w:szCs w:val="18"/>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35,393</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33,805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15,639</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18"/>
                <w:szCs w:val="18"/>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15,888</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18,879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518,941</w:t>
            </w:r>
          </w:p>
        </w:tc>
        <w:tc>
          <w:tcPr>
            <w:tcW w:w="5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519,522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790,326</w:t>
            </w:r>
          </w:p>
        </w:tc>
        <w:tc>
          <w:tcPr>
            <w:tcW w:w="86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787,900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vMerge w:val="restart"/>
          </w:tcPr>
          <w:p>
            <w:pPr>
              <w:spacing w:after="0"/>
              <w:rPr>
                <w:sz w:val="11"/>
                <w:szCs w:val="11"/>
                <w:color w:val="auto"/>
              </w:rPr>
            </w:pPr>
          </w:p>
        </w:tc>
        <w:tc>
          <w:tcPr>
            <w:tcW w:w="8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9,395</w:t>
            </w:r>
          </w:p>
        </w:tc>
        <w:tc>
          <w:tcPr>
            <w:tcW w:w="8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18"/>
                <w:szCs w:val="18"/>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16,242</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payroll and related benefits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44,477</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Bank borrowings, current portion</w:t>
            </w:r>
          </w:p>
        </w:tc>
        <w:tc>
          <w:tcPr>
            <w:tcW w:w="260" w:type="dxa"/>
            <w:vAlign w:val="bottom"/>
          </w:tcPr>
          <w:p>
            <w:pPr>
              <w:spacing w:after="0"/>
              <w:rPr>
                <w:sz w:val="18"/>
                <w:szCs w:val="18"/>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25,000</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consideration for business acquisitions, current portion</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5,163</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Income tax payable</w:t>
            </w:r>
          </w:p>
        </w:tc>
        <w:tc>
          <w:tcPr>
            <w:tcW w:w="260" w:type="dxa"/>
            <w:vAlign w:val="bottom"/>
          </w:tcPr>
          <w:p>
            <w:pPr>
              <w:spacing w:after="0"/>
              <w:rPr>
                <w:sz w:val="18"/>
                <w:szCs w:val="18"/>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152</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revenues</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12,261</w:t>
            </w:r>
          </w:p>
        </w:tc>
        <w:tc>
          <w:tcPr>
            <w:tcW w:w="5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112,690</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116,725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Deferred compensation and other liabilities</w:t>
            </w:r>
          </w:p>
        </w:tc>
        <w:tc>
          <w:tcPr>
            <w:tcW w:w="260" w:type="dxa"/>
            <w:vAlign w:val="bottom"/>
          </w:tcPr>
          <w:p>
            <w:pPr>
              <w:spacing w:after="0"/>
              <w:rPr>
                <w:sz w:val="18"/>
                <w:szCs w:val="18"/>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7,076</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Bank borrowings, net of current portion</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156,250</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Deferred lease incentives</w:t>
            </w:r>
          </w:p>
        </w:tc>
        <w:tc>
          <w:tcPr>
            <w:tcW w:w="260" w:type="dxa"/>
            <w:vAlign w:val="bottom"/>
          </w:tcPr>
          <w:p>
            <w:pPr>
              <w:spacing w:after="0"/>
              <w:rPr>
                <w:sz w:val="18"/>
                <w:szCs w:val="18"/>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8,373</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18,116</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Accrued consideration for business acquisitions, net of current portion</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5,029</w:t>
            </w:r>
          </w:p>
        </w:tc>
        <w:tc>
          <w:tcPr>
            <w:tcW w:w="5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non-current liabilities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194,844</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8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Common stock; $0.01 par value; 500,000,000 shares authorized;</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25,215,218 and 24,793,327 shares issued at June 30, 2013</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and December 31, 2012, respectively</w:t>
            </w:r>
          </w:p>
        </w:tc>
        <w:tc>
          <w:tcPr>
            <w:tcW w:w="26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244</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1,957,215 and 1,880,809 shares at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June 30, 2013 and December 31, 2012, respectively</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(86,500)</w:t>
            </w:r>
          </w:p>
        </w:tc>
        <w:tc>
          <w:tcPr>
            <w:tcW w:w="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(83,715)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8"/>
                <w:szCs w:val="18"/>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434,157</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420,825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136,472</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w:t>
            </w:r>
          </w:p>
        </w:tc>
        <w:tc>
          <w:tcPr>
            <w:tcW w:w="5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482,792</w:t>
            </w:r>
          </w:p>
        </w:tc>
        <w:tc>
          <w:tcPr>
            <w:tcW w:w="5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445,321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8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790,326</w:t>
            </w:r>
          </w:p>
        </w:tc>
        <w:tc>
          <w:tcPr>
            <w:tcW w:w="86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787,900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EARNINGS AND OTHER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4"/>
          </w:tcPr>
          <w:p>
            <w:pPr>
              <w:jc w:val="right"/>
              <w:ind w:right="92"/>
              <w:spacing w:after="0"/>
              <w:rPr>
                <w:sz w:val="20"/>
                <w:szCs w:val="20"/>
                <w:color w:val="auto"/>
              </w:rPr>
            </w:pPr>
            <w:r>
              <w:rPr>
                <w:rFonts w:ascii="Arial" w:cs="Arial" w:eastAsia="Arial" w:hAnsi="Arial"/>
                <w:sz w:val="18"/>
                <w:szCs w:val="18"/>
                <w:b w:val="1"/>
                <w:bCs w:val="1"/>
                <w:color w:val="auto"/>
                <w:w w:val="88"/>
              </w:rPr>
              <w:t>Three Months Ended</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gridSpan w:val="5"/>
          </w:tcPr>
          <w:p>
            <w:pPr>
              <w:ind w:left="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June 30,</w:t>
            </w:r>
          </w:p>
        </w:tc>
        <w:tc>
          <w:tcPr>
            <w:tcW w:w="6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4"/>
              </w:rPr>
              <w:t>2012</w:t>
            </w:r>
          </w:p>
        </w:tc>
        <w:tc>
          <w:tcPr>
            <w:tcW w:w="180" w:type="dxa"/>
            <w:vAlign w:val="bottom"/>
          </w:tcPr>
          <w:p>
            <w:pPr>
              <w:spacing w:after="0"/>
              <w:rPr>
                <w:sz w:val="19"/>
                <w:szCs w:val="19"/>
                <w:color w:val="auto"/>
              </w:rPr>
            </w:pPr>
          </w:p>
        </w:tc>
        <w:tc>
          <w:tcPr>
            <w:tcW w:w="1200" w:type="dxa"/>
            <w:vAlign w:val="bottom"/>
            <w:tcBorders>
              <w:bottom w:val="single" w:sz="8" w:color="auto"/>
            </w:tcBorders>
            <w:gridSpan w:val="2"/>
          </w:tcPr>
          <w:p>
            <w:pPr>
              <w:jc w:val="right"/>
              <w:ind w:right="332"/>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9"/>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 and reimbursable expenses: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Revenues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170,407</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144,671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334,443</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2"/>
              </w:rPr>
              <w:t>283,308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18,123</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14,554</w:t>
            </w:r>
          </w:p>
        </w:tc>
        <w:tc>
          <w:tcPr>
            <w:tcW w:w="1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33,459</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Total revenues and reimbursable expenses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188,530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159,225</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367,902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311,658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8"/>
              </w:rPr>
              <w:t xml:space="preserve">Direct costs and reimbursable expenses </w:t>
            </w:r>
            <w:r>
              <w:rPr>
                <w:rFonts w:ascii="Arial" w:cs="Arial" w:eastAsia="Arial" w:hAnsi="Arial"/>
                <w:sz w:val="18"/>
                <w:szCs w:val="18"/>
                <w:color w:val="auto"/>
                <w:w w:val="88"/>
              </w:rPr>
              <w:t>(exclusive of depreciation and amortization shown in</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Direct costs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102,869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91,878</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208,997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188,659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 and software development costs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Reimbursable expenses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18,118</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14,585</w:t>
            </w:r>
          </w:p>
        </w:tc>
        <w:tc>
          <w:tcPr>
            <w:tcW w:w="1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33,469</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direct costs and reimbursable expenses</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121,661</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107,605</w:t>
            </w:r>
          </w:p>
        </w:tc>
        <w:tc>
          <w:tcPr>
            <w:tcW w:w="1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243,798</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219,346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31,275</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63,110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Restructuring charges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229</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Restatement related expenses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Litigation settlement (gain) loss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1,150</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4,877</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4,053</w:t>
            </w:r>
          </w:p>
        </w:tc>
        <w:tc>
          <w:tcPr>
            <w:tcW w:w="1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9,656</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36,320</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36,919</w:t>
            </w:r>
          </w:p>
        </w:tc>
        <w:tc>
          <w:tcPr>
            <w:tcW w:w="1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72,212</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14,701</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b w:val="1"/>
                <w:bCs w:val="1"/>
                <w:color w:val="auto"/>
              </w:rPr>
              <w:t>Other income (expense), net:</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 of interest income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other expense, net</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1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(3,708)</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86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 expense</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28,691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12,523</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48,184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14,627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12,877</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6,218</w:t>
            </w:r>
          </w:p>
        </w:tc>
        <w:tc>
          <w:tcPr>
            <w:tcW w:w="1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21,001</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860" w:type="dxa"/>
            <w:vAlign w:val="bottom"/>
            <w:gridSpan w:val="2"/>
          </w:tcPr>
          <w:p>
            <w:pPr>
              <w:spacing w:after="0"/>
              <w:rPr>
                <w:sz w:val="20"/>
                <w:szCs w:val="20"/>
                <w:color w:val="auto"/>
              </w:rPr>
            </w:pPr>
            <w:r>
              <w:rPr>
                <w:rFonts w:ascii="Arial" w:cs="Arial" w:eastAsia="Arial" w:hAnsi="Arial"/>
                <w:sz w:val="18"/>
                <w:szCs w:val="18"/>
                <w:color w:val="auto"/>
              </w:rPr>
              <w:t>Net income from continuing operations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15,814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6,305</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27,183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discontinued operations, net of tax</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15,805</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6,507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27,142</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7,363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basic share: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Net income from continuing operations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0.71</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1.22</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discontinued operations, net of tax</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0.71</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0.30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1.22</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68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diluted share: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Net income from continuing operations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0.69</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1.20</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discontinued operations, net of tax</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0.69</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1.20</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68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calculating earnings per share: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24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22,351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21,918</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22,246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21,847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22,248</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15,805</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27,142</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Foreign currency translation gain (loss), net of tax</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(377)</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on cash flow hedging instruments, net of tax</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1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16,512</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45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w w:val="92"/>
              </w:rPr>
              <w:t>Accumulated Other</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18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w w:val="87"/>
              </w:rPr>
              <w:t>Common Stock</w:t>
            </w:r>
          </w:p>
        </w:tc>
        <w:tc>
          <w:tcPr>
            <w:tcW w:w="3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232"/>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92"/>
              <w:spacing w:after="0"/>
              <w:rPr>
                <w:sz w:val="20"/>
                <w:szCs w:val="20"/>
                <w:color w:val="auto"/>
              </w:rPr>
            </w:pPr>
            <w:r>
              <w:rPr>
                <w:rFonts w:ascii="Arial" w:cs="Arial" w:eastAsia="Arial" w:hAnsi="Arial"/>
                <w:sz w:val="14"/>
                <w:szCs w:val="14"/>
                <w:b w:val="1"/>
                <w:bCs w:val="1"/>
                <w:color w:val="auto"/>
                <w:w w:val="89"/>
              </w:rPr>
              <w:t>Paid-In</w:t>
            </w:r>
          </w:p>
        </w:tc>
        <w:tc>
          <w:tcPr>
            <w:tcW w:w="8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4"/>
                <w:szCs w:val="14"/>
                <w:color w:val="auto"/>
              </w:rPr>
            </w:pPr>
          </w:p>
        </w:tc>
        <w:tc>
          <w:tcPr>
            <w:tcW w:w="1120" w:type="dxa"/>
            <w:vAlign w:val="bottom"/>
          </w:tcPr>
          <w:p>
            <w:pPr>
              <w:jc w:val="right"/>
              <w:ind w:right="132"/>
              <w:spacing w:after="0"/>
              <w:rPr>
                <w:sz w:val="20"/>
                <w:szCs w:val="20"/>
                <w:color w:val="auto"/>
              </w:rPr>
            </w:pPr>
            <w:r>
              <w:rPr>
                <w:rFonts w:ascii="Arial" w:cs="Arial" w:eastAsia="Arial" w:hAnsi="Arial"/>
                <w:sz w:val="14"/>
                <w:szCs w:val="14"/>
                <w:b w:val="1"/>
                <w:bCs w:val="1"/>
                <w:color w:val="auto"/>
                <w:w w:val="85"/>
              </w:rPr>
              <w:t>Comprehensive</w:t>
            </w: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w w:val="90"/>
              </w:rPr>
              <w:t>Stockholders’</w:t>
            </w:r>
          </w:p>
        </w:tc>
      </w:tr>
      <w:tr>
        <w:trPr>
          <w:trHeight w:val="163"/>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860" w:type="dxa"/>
            <w:vAlign w:val="bottom"/>
          </w:tcPr>
          <w:p>
            <w:pPr>
              <w:jc w:val="right"/>
              <w:ind w:right="212"/>
              <w:spacing w:after="0" w:line="155" w:lineRule="exact"/>
              <w:rPr>
                <w:sz w:val="20"/>
                <w:szCs w:val="20"/>
                <w:color w:val="auto"/>
              </w:rPr>
            </w:pPr>
            <w:r>
              <w:rPr>
                <w:rFonts w:ascii="Arial" w:cs="Arial" w:eastAsia="Arial" w:hAnsi="Arial"/>
                <w:sz w:val="14"/>
                <w:szCs w:val="14"/>
                <w:b w:val="1"/>
                <w:bCs w:val="1"/>
                <w:color w:val="auto"/>
              </w:rPr>
              <w:t>Shares</w:t>
            </w:r>
          </w:p>
        </w:tc>
        <w:tc>
          <w:tcPr>
            <w:tcW w:w="66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800" w:type="dxa"/>
            <w:vAlign w:val="bottom"/>
          </w:tcPr>
          <w:p>
            <w:pPr>
              <w:jc w:val="right"/>
              <w:ind w:right="152"/>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660" w:type="dxa"/>
            <w:vAlign w:val="bottom"/>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4"/>
                <w:szCs w:val="14"/>
                <w:color w:val="auto"/>
              </w:rPr>
            </w:pPr>
          </w:p>
        </w:tc>
        <w:tc>
          <w:tcPr>
            <w:tcW w:w="600" w:type="dxa"/>
            <w:vAlign w:val="bottom"/>
          </w:tcPr>
          <w:p>
            <w:pPr>
              <w:jc w:val="right"/>
              <w:ind w:right="92"/>
              <w:spacing w:after="0" w:line="155" w:lineRule="exact"/>
              <w:rPr>
                <w:sz w:val="20"/>
                <w:szCs w:val="20"/>
                <w:color w:val="auto"/>
              </w:rPr>
            </w:pPr>
            <w:r>
              <w:rPr>
                <w:rFonts w:ascii="Arial" w:cs="Arial" w:eastAsia="Arial" w:hAnsi="Arial"/>
                <w:sz w:val="14"/>
                <w:szCs w:val="14"/>
                <w:b w:val="1"/>
                <w:bCs w:val="1"/>
                <w:color w:val="auto"/>
                <w:w w:val="89"/>
              </w:rPr>
              <w:t>Capital</w:t>
            </w:r>
          </w:p>
        </w:tc>
        <w:tc>
          <w:tcPr>
            <w:tcW w:w="800" w:type="dxa"/>
            <w:vAlign w:val="bottom"/>
            <w:gridSpan w:val="2"/>
          </w:tcPr>
          <w:p>
            <w:pPr>
              <w:jc w:val="right"/>
              <w:ind w:right="72"/>
              <w:spacing w:after="0" w:line="155" w:lineRule="exact"/>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4"/>
                <w:szCs w:val="14"/>
                <w:color w:val="auto"/>
              </w:rPr>
            </w:pPr>
          </w:p>
        </w:tc>
        <w:tc>
          <w:tcPr>
            <w:tcW w:w="1120" w:type="dxa"/>
            <w:vAlign w:val="bottom"/>
          </w:tcPr>
          <w:p>
            <w:pPr>
              <w:jc w:val="right"/>
              <w:ind w:right="172"/>
              <w:spacing w:after="0" w:line="155" w:lineRule="exact"/>
              <w:rPr>
                <w:sz w:val="20"/>
                <w:szCs w:val="20"/>
                <w:color w:val="auto"/>
              </w:rPr>
            </w:pPr>
            <w:r>
              <w:rPr>
                <w:rFonts w:ascii="Arial" w:cs="Arial" w:eastAsia="Arial" w:hAnsi="Arial"/>
                <w:sz w:val="14"/>
                <w:szCs w:val="14"/>
                <w:b w:val="1"/>
                <w:bCs w:val="1"/>
                <w:color w:val="auto"/>
                <w:w w:val="90"/>
              </w:rPr>
              <w:t>Income (Loss)</w:t>
            </w:r>
          </w:p>
        </w:tc>
        <w:tc>
          <w:tcPr>
            <w:tcW w:w="220" w:type="dxa"/>
            <w:vAlign w:val="bottom"/>
          </w:tcPr>
          <w:p>
            <w:pPr>
              <w:spacing w:after="0"/>
              <w:rPr>
                <w:sz w:val="14"/>
                <w:szCs w:val="14"/>
                <w:color w:val="auto"/>
              </w:rPr>
            </w:pPr>
          </w:p>
        </w:tc>
        <w:tc>
          <w:tcPr>
            <w:tcW w:w="7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Equity</w:t>
            </w: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2012</w:t>
            </w:r>
          </w:p>
        </w:tc>
        <w:tc>
          <w:tcPr>
            <w:tcW w:w="860" w:type="dxa"/>
            <w:vAlign w:val="bottom"/>
            <w:tcBorders>
              <w:top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23,904,125</w:t>
            </w:r>
          </w:p>
        </w:tc>
        <w:tc>
          <w:tcPr>
            <w:tcW w:w="320" w:type="dxa"/>
            <w:vAlign w:val="bottom"/>
            <w:tcBorders>
              <w:top w:val="single" w:sz="8" w:color="auto"/>
            </w:tcBorders>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94"/>
              </w:rPr>
              <w:t>240</w:t>
            </w:r>
          </w:p>
        </w:tc>
        <w:tc>
          <w:tcPr>
            <w:tcW w:w="800" w:type="dxa"/>
            <w:vAlign w:val="bottom"/>
            <w:tcBorders>
              <w:top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7"/>
              </w:rPr>
              <w:t>(1,889,465)</w:t>
            </w:r>
          </w:p>
        </w:tc>
        <w:tc>
          <w:tcPr>
            <w:tcW w:w="1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(83,715)</w:t>
            </w:r>
          </w:p>
        </w:tc>
        <w:tc>
          <w:tcPr>
            <w:tcW w:w="160" w:type="dxa"/>
            <w:vAlign w:val="bottom"/>
            <w:tcBorders>
              <w:top w:val="single" w:sz="8" w:color="auto"/>
            </w:tcBorders>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420,825</w:t>
            </w:r>
          </w:p>
        </w:tc>
        <w:tc>
          <w:tcPr>
            <w:tcW w:w="220" w:type="dxa"/>
            <w:vAlign w:val="bottom"/>
            <w:tcBorders>
              <w:top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109,330</w:t>
            </w:r>
          </w:p>
        </w:tc>
        <w:tc>
          <w:tcPr>
            <w:tcW w:w="180" w:type="dxa"/>
            <w:vAlign w:val="bottom"/>
            <w:tcBorders>
              <w:top w:val="single" w:sz="8" w:color="auto"/>
            </w:tcBorders>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(1,359)</w:t>
            </w:r>
          </w:p>
        </w:tc>
        <w:tc>
          <w:tcPr>
            <w:tcW w:w="220" w:type="dxa"/>
            <w:vAlign w:val="bottom"/>
            <w:tcBorders>
              <w:top w:val="single" w:sz="8" w:color="auto"/>
            </w:tcBorders>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445,321</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27,142</w:t>
            </w:r>
          </w:p>
        </w:tc>
        <w:tc>
          <w:tcPr>
            <w:tcW w:w="180" w:type="dxa"/>
            <w:vAlign w:val="bottom"/>
          </w:tcPr>
          <w:p>
            <w:pPr>
              <w:spacing w:after="0"/>
              <w:rPr>
                <w:sz w:val="12"/>
                <w:szCs w:val="12"/>
                <w:color w:val="auto"/>
              </w:rPr>
            </w:pPr>
          </w:p>
        </w:tc>
        <w:tc>
          <w:tcPr>
            <w:tcW w:w="11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(222)</w:t>
            </w:r>
          </w:p>
        </w:tc>
        <w:tc>
          <w:tcPr>
            <w:tcW w:w="22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26,920</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in connection with:</w:t>
            </w: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60" w:type="dxa"/>
            <w:vAlign w:val="bottom"/>
          </w:tcPr>
          <w:p>
            <w:pPr>
              <w:ind w:left="200"/>
              <w:spacing w:after="0" w:line="149" w:lineRule="exact"/>
              <w:rPr>
                <w:sz w:val="20"/>
                <w:szCs w:val="20"/>
                <w:color w:val="auto"/>
              </w:rPr>
            </w:pPr>
            <w:r>
              <w:rPr>
                <w:rFonts w:ascii="Arial" w:cs="Arial" w:eastAsia="Arial" w:hAnsi="Arial"/>
                <w:sz w:val="14"/>
                <w:szCs w:val="14"/>
                <w:color w:val="auto"/>
              </w:rPr>
              <w:t>Restricted stock awards, net of cancellations</w:t>
            </w: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397,079</w:t>
            </w:r>
          </w:p>
        </w:tc>
        <w:tc>
          <w:tcPr>
            <w:tcW w:w="320" w:type="dxa"/>
            <w:vAlign w:val="bottom"/>
          </w:tcPr>
          <w:p>
            <w:pPr>
              <w:spacing w:after="0"/>
              <w:rPr>
                <w:sz w:val="12"/>
                <w:szCs w:val="12"/>
                <w:color w:val="auto"/>
              </w:rPr>
            </w:pPr>
          </w:p>
        </w:tc>
        <w:tc>
          <w:tcPr>
            <w:tcW w:w="3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(61,371)</w:t>
            </w:r>
          </w:p>
        </w:tc>
        <w:tc>
          <w:tcPr>
            <w:tcW w:w="16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(2,204)</w:t>
            </w: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2,200</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Exercise of stock options</w:t>
            </w:r>
          </w:p>
        </w:tc>
        <w:tc>
          <w:tcPr>
            <w:tcW w:w="8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25,756</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30</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line="149" w:lineRule="exact"/>
              <w:rPr>
                <w:sz w:val="20"/>
                <w:szCs w:val="20"/>
                <w:color w:val="auto"/>
              </w:rPr>
            </w:pPr>
            <w:r>
              <w:rPr>
                <w:rFonts w:ascii="Arial" w:cs="Arial" w:eastAsia="Arial" w:hAnsi="Arial"/>
                <w:sz w:val="14"/>
                <w:szCs w:val="14"/>
                <w:color w:val="auto"/>
              </w:rPr>
              <w:t>Share-based compensation</w:t>
            </w: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10,086</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10,086</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redeemed for employee tax withholdings</w:t>
            </w: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(16,688)</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(581)</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(581)</w:t>
            </w:r>
          </w:p>
        </w:tc>
        <w:tc>
          <w:tcPr>
            <w:tcW w:w="6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4460" w:type="dxa"/>
            <w:vAlign w:val="bottom"/>
          </w:tcPr>
          <w:p>
            <w:pPr>
              <w:spacing w:after="0" w:line="149" w:lineRule="exact"/>
              <w:rPr>
                <w:sz w:val="20"/>
                <w:szCs w:val="20"/>
                <w:color w:val="auto"/>
              </w:rPr>
            </w:pPr>
            <w:r>
              <w:rPr>
                <w:rFonts w:ascii="Arial" w:cs="Arial" w:eastAsia="Arial" w:hAnsi="Arial"/>
                <w:sz w:val="14"/>
                <w:szCs w:val="14"/>
                <w:color w:val="auto"/>
              </w:rPr>
              <w:t>Income tax benefit on share-based compensation</w:t>
            </w:r>
          </w:p>
        </w:tc>
        <w:tc>
          <w:tcPr>
            <w:tcW w:w="8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1,016</w:t>
            </w: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1,016</w:t>
            </w:r>
          </w:p>
        </w:tc>
        <w:tc>
          <w:tcPr>
            <w:tcW w:w="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June 30, 2013</w:t>
            </w:r>
          </w:p>
        </w:tc>
        <w:tc>
          <w:tcPr>
            <w:tcW w:w="86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24,326,960</w:t>
            </w:r>
          </w:p>
        </w:tc>
        <w:tc>
          <w:tcPr>
            <w:tcW w:w="320" w:type="dxa"/>
            <w:vAlign w:val="bottom"/>
            <w:tcBorders>
              <w:bottom w:val="single" w:sz="8" w:color="auto"/>
            </w:tcBorders>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94"/>
              </w:rPr>
              <w:t>244</w:t>
            </w:r>
          </w:p>
        </w:tc>
        <w:tc>
          <w:tcPr>
            <w:tcW w:w="80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7"/>
              </w:rPr>
              <w:t>(1,967,524)</w:t>
            </w:r>
          </w:p>
        </w:tc>
        <w:tc>
          <w:tcPr>
            <w:tcW w:w="1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(86,500)</w:t>
            </w:r>
          </w:p>
        </w:tc>
        <w:tc>
          <w:tcPr>
            <w:tcW w:w="160" w:type="dxa"/>
            <w:vAlign w:val="bottom"/>
            <w:tcBorders>
              <w:bottom w:val="single" w:sz="8" w:color="auto"/>
            </w:tcBorders>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434,157</w:t>
            </w:r>
          </w:p>
        </w:tc>
        <w:tc>
          <w:tcPr>
            <w:tcW w:w="22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136,472</w:t>
            </w:r>
          </w:p>
        </w:tc>
        <w:tc>
          <w:tcPr>
            <w:tcW w:w="180" w:type="dxa"/>
            <w:vAlign w:val="bottom"/>
            <w:tcBorders>
              <w:bottom w:val="single" w:sz="8" w:color="auto"/>
            </w:tcBorders>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(1,581)</w:t>
            </w:r>
          </w:p>
        </w:tc>
        <w:tc>
          <w:tcPr>
            <w:tcW w:w="220" w:type="dxa"/>
            <w:vAlign w:val="bottom"/>
            <w:tcBorders>
              <w:bottom w:val="single" w:sz="8" w:color="auto"/>
            </w:tcBorders>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482,792</w:t>
            </w:r>
          </w:p>
        </w:tc>
        <w:tc>
          <w:tcPr>
            <w:tcW w:w="6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5"/>
          </w:tcPr>
          <w:p>
            <w:pPr>
              <w:ind w:left="2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9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9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99"/>
              </w:rPr>
              <w:t>2012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27,142</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7,363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10,988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Allowances for doubtful accounts and unbilled services</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5,375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Changes in operating assets and liabilities, net of businesses acquired:</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receivables from clients</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(Increase) decrease in unbilled services</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(33,936)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current income tax receivable / payable, net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(Increase) decrease in other assets</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accounts payable and accrued liabilities</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Increase (decrease) in accrued payroll and related benefits</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(15,849)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(28,058)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deferred revenues</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8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Purchases of property and equipment, net</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(9,789)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 life insurance policies</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Purchases of businesses, net of cash acquired</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Capitalization of internally developed software</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Proceeds from note receivable</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(11,282)</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89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Shares redeemed for employee tax withholdings</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Tax benefit from share-based compensation</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Proceeds from borrowings under credit facility</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66,000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138,500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Repayments on credit facility</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(77,250)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(118,500)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Payments of capital lease obligations</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Deferred acquisition payment</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Net cash (used in) provided by financing activities</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(11,040)</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8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892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(20,554)</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25,162</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the period</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4,608</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5,772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5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Huron Consulting Group is a leading provider of operational and financial consulting services. We help clients in diverse industries improve performance, reduce costs, leverage technology, process and review large amounts of complex data, address regulatory changes, recover from distress and stimulate growth. Our professionals employ their expertise in administration, management, finance, operations, strategy and technology to provide our clients with specialized analyses and customized advice and solutions that are tailored to address each client’s particular challenges and opportunities to deliver sustainable and measurable results. We provide consulting services to a wide variety of both financially sound and distressed organizations, including healthcare organizations, leading academic institutions, Fortune 500 companies, governmental entities and law firms.</w:t>
      </w:r>
    </w:p>
    <w:p>
      <w:pPr>
        <w:spacing w:after="0" w:line="155"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5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accompanying unaudited Consolidated Financial Statements reflect the financial position, results of operations and cash flows as of and for the three and six months ended June 30, 2013 and 2012. These financial statements have been prepared in accordance with the rules and regulations of the U.S. Securities and Exchange Commission (“SEC”) for Quarterly Reports on Form 10-Q. Accordingly, these financial statements do not include all of the information and note disclosures required by accounting principles generally accepted in the United States of America (“GAAP”) for annual financial statements. In the opinion of management, these financial statements reflect all adjustments of a normal, recurring nature necessary for the fair presentation of our financial position, results of operations and cash flows for the interim periods presented in conformity with GAAP. These financial statements should be read in conjunction with the Consolidated Financial Statements and notes thereto for the year ended December 31, 2012 included in our Annual Report on Form 10-K and our Quarterly Report on Form 10-Q for the period ended March 31, 2013.</w:t>
      </w:r>
    </w:p>
    <w:p>
      <w:pPr>
        <w:spacing w:after="0" w:line="9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Certain amounts reported in the previous year have been reclassified to conform to the 2013 presentation. Our results for any interim period are not necessarily indicative of results for a full year or any other interim period.</w:t>
      </w:r>
    </w:p>
    <w:p>
      <w:pPr>
        <w:spacing w:after="0" w:line="10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second quarter of 2013, we identified a $1.1 million error in stock-based compensation expense resulting from the use of the straight-line attribution method for performance awards with graded vesting features granted in prior periods. The $1.1 million pretax adjustment, which resulted in a $0.9 million increase in Direct costs and a $0.2 million increase in Selling, general and administrative expense, with a corresponding $1.1 million increase in Additional paid-in capital, represents the cumulative error related to all prior period financial statements beginning with the first quarter of 2010 through the first quarter of 2013. After consideration of both quantitative and qualitative factors, we concluded that our previously issued annual and quarterly financial statements for the years 2010, 2011, 2012 and the first quarter of 2013 were not materially misstated, and the effect of recognizing this adjustment during the second quarter of 2013 is not material for the period then ended and is not expected to be material for full year 2013 results.</w:t>
      </w:r>
    </w:p>
    <w:p>
      <w:pPr>
        <w:spacing w:after="0" w:line="153"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February 2013, the FASB issued ASU No. 2013-02, Reporting of Amounts Reclassified Out of Accumulated Other Comprehensive Income, which amends current accounting guidance on comprehensive income. The guidance requires an entity to present, either on the face of the statement where net income is presented or in the notes, significant amounts reclassified out of accumulated other comprehensive income by the respective line items of net income if the amount is reclassified to net income in its entirety in the same reporting period. For other amounts not required to be reclassified in their entirety to net income in the same reporting period, a cross reference to other disclosures that provide additional detail about the reclassification amounts is required. The Company adopted this guidance effective January 1, 2013. The guidance required a change in disclosure only and did not have any effect on the Company’s consolidated financial statements.</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March 2013, the FASB issued ASU No. 2013-05, Parent’s Accounting for the Cumulative Translation Adjustment Upon Derecognition of Certain Subsidiaries or Groups of Assets Within a Foreign Entity or of an Investment in a Foreign Entity, which amends current accounting guidance on foreign currency matters. This guidance requires that the entire amount of a cumulative translation adjustment related to an entity’s investment in a foreign entity should be released when there has been a: (i) sale of a subsidiary or group of net assets within a foreign entity and the sale represents the substantially complete liquidation of the investment in the foreign entity, (ii) loss of a controlling financial interest in an investment in a foreign entity, and (iii) step acquisition for a foreign entity. This guidance will be effective for the Company beginning in the first quarter of 2014. We do not expect the adoption to have a material impact on our consolidated financial statements.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recent years, we have undertaken several separate initiatives to divest certain practices within the Huron Financial segment in order to enable us to devote more of our energy and financial resources to the remaining businesses of the Company where we have a more substantial market presence. Most recently, on December 30, 2011, we sold the Accounting Advisory (“AA”) practice to a group of investors including the managing director of the practice at the time and recognized a loss of $1.9 million in connection with the sale.</w:t>
      </w:r>
    </w:p>
    <w:p>
      <w:pPr>
        <w:spacing w:after="0" w:line="1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operating results of AA are reported as “discontinued operations.” All other operations of the business are considered “continuing operations.” Summarized operating results of discontinued operations are presented in the following table: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000" w:type="dxa"/>
            <w:vAlign w:val="bottom"/>
            <w:gridSpan w:val="6"/>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8"/>
                <w:szCs w:val="18"/>
                <w:color w:val="auto"/>
              </w:rPr>
            </w:pPr>
          </w:p>
        </w:tc>
        <w:tc>
          <w:tcPr>
            <w:tcW w:w="182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89"/>
              </w:rPr>
              <w:t>Six Months Ended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5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center"/>
              <w:ind w:left="312"/>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4"/>
              </w:rPr>
              <w:t>2013</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4"/>
              </w:rPr>
              <w:t>2012</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4"/>
              </w:rPr>
              <w:t>2013</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4"/>
              </w:rPr>
              <w:t>2012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320" w:type="dxa"/>
            <w:vAlign w:val="bottom"/>
            <w:gridSpan w:val="2"/>
          </w:tcPr>
          <w:p>
            <w:pPr>
              <w:spacing w:after="0"/>
              <w:rPr>
                <w:sz w:val="20"/>
                <w:szCs w:val="20"/>
                <w:color w:val="auto"/>
              </w:rPr>
            </w:pPr>
            <w:r>
              <w:rPr>
                <w:rFonts w:ascii="Arial" w:cs="Arial" w:eastAsia="Arial" w:hAnsi="Arial"/>
                <w:sz w:val="18"/>
                <w:szCs w:val="18"/>
                <w:color w:val="auto"/>
              </w:rPr>
              <w:t>(Loss) income from discontinued operations before income tax expense</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334</w:t>
            </w:r>
          </w:p>
        </w:tc>
        <w:tc>
          <w:tcPr>
            <w:tcW w:w="2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from discontinued operations</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There were no significant assets or liabilities related to discontinued operations in the Consolidated Balance Sheets as of June 30, 2013 or December 31, 2012.</w:t>
      </w:r>
    </w:p>
    <w:p>
      <w:pPr>
        <w:spacing w:after="0" w:line="229"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carrying amount of goodwill by segment for the six months ended June 30, 2013.</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w w:val="87"/>
              </w:rPr>
              <w:t>Current Segments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3"/>
          </w:tcPr>
          <w:p>
            <w:pPr>
              <w:jc w:val="center"/>
              <w:ind w:right="460"/>
              <w:spacing w:after="0" w:line="196" w:lineRule="exact"/>
              <w:rPr>
                <w:sz w:val="20"/>
                <w:szCs w:val="20"/>
                <w:color w:val="auto"/>
              </w:rPr>
            </w:pPr>
            <w:r>
              <w:rPr>
                <w:rFonts w:ascii="Arial" w:cs="Arial" w:eastAsia="Arial" w:hAnsi="Arial"/>
                <w:sz w:val="18"/>
                <w:szCs w:val="18"/>
                <w:b w:val="1"/>
                <w:bCs w:val="1"/>
                <w:color w:val="auto"/>
                <w:w w:val="94"/>
              </w:rPr>
              <w:t>Huron</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87"/>
              </w:rPr>
              <w:t>Education</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Former Segments</w:t>
            </w:r>
          </w:p>
        </w:tc>
        <w:tc>
          <w:tcPr>
            <w:tcW w:w="220" w:type="dxa"/>
            <w:vAlign w:val="bottom"/>
          </w:tcPr>
          <w:p>
            <w:pPr>
              <w:spacing w:after="0"/>
              <w:rPr>
                <w:sz w:val="18"/>
                <w:szCs w:val="18"/>
                <w:color w:val="auto"/>
              </w:rPr>
            </w:pPr>
          </w:p>
        </w:tc>
        <w:tc>
          <w:tcPr>
            <w:tcW w:w="800" w:type="dxa"/>
            <w:vAlign w:val="bottom"/>
          </w:tcPr>
          <w:p>
            <w:pPr>
              <w:jc w:val="right"/>
              <w:ind w:right="172"/>
              <w:spacing w:after="0"/>
              <w:rPr>
                <w:sz w:val="20"/>
                <w:szCs w:val="20"/>
                <w:color w:val="auto"/>
              </w:rPr>
            </w:pPr>
            <w:r>
              <w:rPr>
                <w:rFonts w:ascii="Arial" w:cs="Arial" w:eastAsia="Arial" w:hAnsi="Arial"/>
                <w:sz w:val="18"/>
                <w:szCs w:val="18"/>
                <w:b w:val="1"/>
                <w:bCs w:val="1"/>
                <w:color w:val="auto"/>
                <w:w w:val="98"/>
              </w:rPr>
              <w:t>Huron</w:t>
            </w:r>
          </w:p>
        </w:tc>
        <w:tc>
          <w:tcPr>
            <w:tcW w:w="180" w:type="dxa"/>
            <w:vAlign w:val="bottom"/>
          </w:tcPr>
          <w:p>
            <w:pPr>
              <w:spacing w:after="0"/>
              <w:rPr>
                <w:sz w:val="18"/>
                <w:szCs w:val="18"/>
                <w:color w:val="auto"/>
              </w:rPr>
            </w:pPr>
          </w:p>
        </w:tc>
        <w:tc>
          <w:tcPr>
            <w:tcW w:w="84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Huron</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2"/>
              </w:rPr>
              <w:t>and Life</w:t>
            </w:r>
          </w:p>
        </w:tc>
        <w:tc>
          <w:tcPr>
            <w:tcW w:w="100" w:type="dxa"/>
            <w:vAlign w:val="bottom"/>
          </w:tcPr>
          <w:p>
            <w:pPr>
              <w:spacing w:after="0"/>
              <w:rPr>
                <w:sz w:val="18"/>
                <w:szCs w:val="18"/>
                <w:color w:val="auto"/>
              </w:rPr>
            </w:pPr>
          </w:p>
        </w:tc>
        <w:tc>
          <w:tcPr>
            <w:tcW w:w="880" w:type="dxa"/>
            <w:vAlign w:val="bottom"/>
          </w:tcPr>
          <w:p>
            <w:pPr>
              <w:jc w:val="right"/>
              <w:ind w:right="192"/>
              <w:spacing w:after="0"/>
              <w:rPr>
                <w:sz w:val="20"/>
                <w:szCs w:val="20"/>
                <w:color w:val="auto"/>
              </w:rPr>
            </w:pPr>
            <w:r>
              <w:rPr>
                <w:rFonts w:ascii="Arial" w:cs="Arial" w:eastAsia="Arial" w:hAnsi="Arial"/>
                <w:sz w:val="18"/>
                <w:szCs w:val="18"/>
                <w:b w:val="1"/>
                <w:bCs w:val="1"/>
                <w:color w:val="auto"/>
              </w:rPr>
              <w:t>Huron</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720" w:type="dxa"/>
            <w:vAlign w:val="bottom"/>
            <w:gridSpan w:val="3"/>
            <w:vMerge w:val="continue"/>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b w:val="1"/>
                <w:bCs w:val="1"/>
                <w:color w:val="auto"/>
                <w:w w:val="97"/>
              </w:rPr>
              <w:t>Healthcare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ind w:right="112"/>
              <w:spacing w:after="0"/>
              <w:rPr>
                <w:sz w:val="20"/>
                <w:szCs w:val="20"/>
                <w:color w:val="auto"/>
              </w:rPr>
            </w:pPr>
            <w:r>
              <w:rPr>
                <w:rFonts w:ascii="Arial" w:cs="Arial" w:eastAsia="Arial" w:hAnsi="Arial"/>
                <w:sz w:val="18"/>
                <w:szCs w:val="18"/>
                <w:b w:val="1"/>
                <w:bCs w:val="1"/>
                <w:color w:val="auto"/>
                <w:w w:val="89"/>
              </w:rPr>
              <w:t>Legal</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79"/>
              </w:rPr>
              <w:t>Sciences</w:t>
            </w:r>
          </w:p>
        </w:tc>
        <w:tc>
          <w:tcPr>
            <w:tcW w:w="100" w:type="dxa"/>
            <w:vAlign w:val="bottom"/>
          </w:tcPr>
          <w:p>
            <w:pPr>
              <w:spacing w:after="0"/>
              <w:rPr>
                <w:sz w:val="18"/>
                <w:szCs w:val="18"/>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b w:val="1"/>
                <w:bCs w:val="1"/>
                <w:color w:val="auto"/>
                <w:w w:val="87"/>
              </w:rPr>
              <w:t>Financial</w:t>
            </w:r>
          </w:p>
        </w:tc>
        <w:tc>
          <w:tcPr>
            <w:tcW w:w="200" w:type="dxa"/>
            <w:vAlign w:val="bottom"/>
          </w:tcPr>
          <w:p>
            <w:pPr>
              <w:spacing w:after="0"/>
              <w:rPr>
                <w:sz w:val="18"/>
                <w:szCs w:val="18"/>
                <w:color w:val="auto"/>
              </w:rPr>
            </w:pPr>
          </w:p>
        </w:tc>
        <w:tc>
          <w:tcPr>
            <w:tcW w:w="102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Borders>
              <w:bottom w:val="single" w:sz="8" w:color="CCEEFF"/>
            </w:tcBorders>
            <w:shd w:val="clear" w:color="auto" w:fill="000000"/>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Health and Education Consulting</w:t>
            </w:r>
          </w:p>
        </w:tc>
        <w:tc>
          <w:tcPr>
            <w:tcW w:w="220" w:type="dxa"/>
            <w:vAlign w:val="bottom"/>
            <w:shd w:val="clear" w:color="auto" w:fill="CCEEFF"/>
          </w:tcPr>
          <w:p>
            <w:pPr>
              <w:ind w:left="80"/>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355,880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94,601</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$ 450,481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Legal Consulting</w:t>
            </w:r>
          </w:p>
        </w:tc>
        <w:tc>
          <w:tcPr>
            <w:tcW w:w="22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52,947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52,947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Consulting</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159,077</w:t>
            </w:r>
          </w:p>
        </w:tc>
        <w:tc>
          <w:tcPr>
            <w:tcW w:w="2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720" w:type="dxa"/>
            <w:vAlign w:val="bottom"/>
            <w:gridSpan w:val="3"/>
          </w:tcPr>
          <w:p>
            <w:pPr>
              <w:spacing w:after="0"/>
              <w:rPr>
                <w:sz w:val="20"/>
                <w:szCs w:val="20"/>
                <w:color w:val="auto"/>
              </w:rPr>
            </w:pPr>
            <w:r>
              <w:rPr>
                <w:rFonts w:ascii="Arial" w:cs="Arial" w:eastAsia="Arial" w:hAnsi="Arial"/>
                <w:sz w:val="18"/>
                <w:szCs w:val="18"/>
                <w:color w:val="auto"/>
              </w:rPr>
              <w:t>Total new alignment as of December 31, 2012</w:t>
            </w:r>
          </w:p>
        </w:tc>
        <w:tc>
          <w:tcPr>
            <w:tcW w:w="22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355,880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52,947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94,601</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159,077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662,505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impairment</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(142,983)</w:t>
            </w:r>
          </w:p>
        </w:tc>
        <w:tc>
          <w:tcPr>
            <w:tcW w:w="2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20" w:type="dxa"/>
            <w:vAlign w:val="bottom"/>
            <w:gridSpan w:val="3"/>
          </w:tcPr>
          <w:p>
            <w:pPr>
              <w:spacing w:after="0"/>
              <w:rPr>
                <w:sz w:val="20"/>
                <w:szCs w:val="20"/>
                <w:color w:val="auto"/>
              </w:rPr>
            </w:pPr>
            <w:r>
              <w:rPr>
                <w:rFonts w:ascii="Arial" w:cs="Arial" w:eastAsia="Arial" w:hAnsi="Arial"/>
                <w:sz w:val="18"/>
                <w:szCs w:val="18"/>
                <w:color w:val="auto"/>
              </w:rPr>
              <w:t>Goodwill, net as of December 31, 2012</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355,880</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52,947</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94,601</w:t>
            </w:r>
          </w:p>
        </w:tc>
        <w:tc>
          <w:tcPr>
            <w:tcW w:w="20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16,094</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519,522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20" w:type="dxa"/>
            <w:vAlign w:val="bottom"/>
            <w:gridSpan w:val="3"/>
          </w:tcPr>
          <w:p>
            <w:pPr>
              <w:spacing w:after="0"/>
              <w:rPr>
                <w:sz w:val="20"/>
                <w:szCs w:val="20"/>
                <w:color w:val="auto"/>
              </w:rPr>
            </w:pPr>
            <w:r>
              <w:rPr>
                <w:rFonts w:ascii="Arial" w:cs="Arial" w:eastAsia="Arial" w:hAnsi="Arial"/>
                <w:sz w:val="18"/>
                <w:szCs w:val="18"/>
                <w:color w:val="auto"/>
              </w:rPr>
              <w:t>Goodwill, net as of June 30, 2013</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355,880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52,366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94,601</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16,094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$ 518,941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first quarter of 2013, we changed our internal financial reporting structure. Under the new structure, our former Health and Education Consulting segment became two separate segments: Huron Healthcare and Huron Education and Life Sciences. In addition, certain immaterial practices which were historically part of our Health and Education Consulting segment were combined and disclosed in our All Other segment. The Legal Consulting segment is now referred to as Huron Legal and the Financial Consulting segment is now referred to as Huron Financial. The structure of the Legal Consulting and Financial Consulting segments did not change. As a result of these changes, we now have five reporting segments, which are the same as our operating segments and reporting units.</w:t>
      </w:r>
    </w:p>
    <w:p>
      <w:pPr>
        <w:spacing w:after="0" w:line="11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accordance with ASC 350, “Intangibles – Goodwill and Other,” we reassigned the goodwill balance of the Health and Education Consulting segment using the relative fair value approach based on an evaluation of expected future discounted cash flows. Based on this relative fair value analysis, we reassigned $355.9 million of goodwill to Huron Healthcare and $94.6 million of goodwill to Huron Education and Life Sciences.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conjunction with the goodwill reassignment, we performed the first step of the goodwill impairment test for the goodwill balances within our Huron Healthcare and Huron Education and Life Sciences reporting units as of January 2, 2013. Based on the result of the first step of the goodwill impairment test, we determined that the fair values of our Huron Healthcare and Huron Education and Life Sciences reporting units exceeded their carrying values. Since the fair values of both reporting units exceeded their carrying values, the second step of the goodwill impairment test was not necessary.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June 30, 2013 and December 31, 2012 consisted of the following:</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80" w:type="dxa"/>
            <w:vAlign w:val="bottom"/>
            <w:gridSpan w:val="4"/>
          </w:tcPr>
          <w:p>
            <w:pPr>
              <w:jc w:val="right"/>
              <w:ind w:right="592"/>
              <w:spacing w:after="0"/>
              <w:rPr>
                <w:sz w:val="20"/>
                <w:szCs w:val="20"/>
                <w:color w:val="auto"/>
              </w:rPr>
            </w:pPr>
            <w:r>
              <w:rPr>
                <w:rFonts w:ascii="Arial" w:cs="Arial" w:eastAsia="Arial" w:hAnsi="Arial"/>
                <w:sz w:val="18"/>
                <w:szCs w:val="18"/>
                <w:b w:val="1"/>
                <w:bCs w:val="1"/>
                <w:color w:val="auto"/>
              </w:rPr>
              <w:t>June 30, 2013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60" w:type="dxa"/>
            <w:vAlign w:val="bottom"/>
            <w:gridSpan w:val="5"/>
          </w:tcPr>
          <w:p>
            <w:pPr>
              <w:ind w:left="260"/>
              <w:spacing w:after="0"/>
              <w:rPr>
                <w:sz w:val="20"/>
                <w:szCs w:val="20"/>
                <w:color w:val="auto"/>
              </w:rPr>
            </w:pPr>
            <w:r>
              <w:rPr>
                <w:rFonts w:ascii="Arial" w:cs="Arial" w:eastAsia="Arial" w:hAnsi="Arial"/>
                <w:sz w:val="18"/>
                <w:szCs w:val="18"/>
                <w:b w:val="1"/>
                <w:bCs w:val="1"/>
                <w:color w:val="auto"/>
              </w:rPr>
              <w:t>December 31, 2012</w:t>
            </w:r>
          </w:p>
        </w:tc>
      </w:tr>
      <w:tr>
        <w:trPr>
          <w:trHeight w:val="197"/>
        </w:trPr>
        <w:tc>
          <w:tcPr>
            <w:tcW w:w="5200" w:type="dxa"/>
            <w:vAlign w:val="bottom"/>
          </w:tcPr>
          <w:p>
            <w:pPr>
              <w:spacing w:after="0"/>
              <w:rPr>
                <w:sz w:val="17"/>
                <w:szCs w:val="17"/>
                <w:color w:val="auto"/>
              </w:rPr>
            </w:pPr>
          </w:p>
        </w:tc>
        <w:tc>
          <w:tcPr>
            <w:tcW w:w="1160" w:type="dxa"/>
            <w:vAlign w:val="bottom"/>
            <w:gridSpan w:val="2"/>
          </w:tcPr>
          <w:p>
            <w:pPr>
              <w:jc w:val="center"/>
              <w:ind w:right="320"/>
              <w:spacing w:after="0" w:line="197" w:lineRule="exact"/>
              <w:rPr>
                <w:sz w:val="20"/>
                <w:szCs w:val="20"/>
                <w:color w:val="auto"/>
              </w:rPr>
            </w:pPr>
            <w:r>
              <w:rPr>
                <w:rFonts w:ascii="Arial" w:cs="Arial" w:eastAsia="Arial" w:hAnsi="Arial"/>
                <w:sz w:val="18"/>
                <w:szCs w:val="18"/>
                <w:b w:val="1"/>
                <w:bCs w:val="1"/>
                <w:color w:val="auto"/>
                <w:w w:val="87"/>
              </w:rPr>
              <w:t>Useful</w:t>
            </w:r>
          </w:p>
        </w:tc>
        <w:tc>
          <w:tcPr>
            <w:tcW w:w="900" w:type="dxa"/>
            <w:vAlign w:val="bottom"/>
            <w:tcBorders>
              <w:top w:val="single" w:sz="8" w:color="auto"/>
            </w:tcBorders>
          </w:tcPr>
          <w:p>
            <w:pPr>
              <w:jc w:val="center"/>
              <w:spacing w:after="0" w:line="197" w:lineRule="exact"/>
              <w:rPr>
                <w:sz w:val="20"/>
                <w:szCs w:val="20"/>
                <w:color w:val="auto"/>
              </w:rPr>
            </w:pPr>
            <w:r>
              <w:rPr>
                <w:rFonts w:ascii="Arial" w:cs="Arial" w:eastAsia="Arial" w:hAnsi="Arial"/>
                <w:sz w:val="18"/>
                <w:szCs w:val="18"/>
                <w:b w:val="1"/>
                <w:bCs w:val="1"/>
                <w:color w:val="auto"/>
                <w:w w:val="84"/>
              </w:rPr>
              <w:t>Gross</w:t>
            </w:r>
          </w:p>
        </w:tc>
        <w:tc>
          <w:tcPr>
            <w:tcW w:w="1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172"/>
              <w:spacing w:after="0" w:line="197" w:lineRule="exact"/>
              <w:rPr>
                <w:sz w:val="20"/>
                <w:szCs w:val="20"/>
                <w:color w:val="auto"/>
              </w:rPr>
            </w:pPr>
            <w:r>
              <w:rPr>
                <w:rFonts w:ascii="Arial" w:cs="Arial" w:eastAsia="Arial" w:hAnsi="Arial"/>
                <w:sz w:val="18"/>
                <w:szCs w:val="18"/>
                <w:b w:val="1"/>
                <w:bCs w:val="1"/>
                <w:color w:val="auto"/>
                <w:w w:val="80"/>
              </w:rPr>
              <w:t>Gross</w:t>
            </w:r>
          </w:p>
        </w:tc>
        <w:tc>
          <w:tcPr>
            <w:tcW w:w="1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0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Life in</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4"/>
              </w:rPr>
              <w:t>Carrying</w:t>
            </w:r>
          </w:p>
        </w:tc>
        <w:tc>
          <w:tcPr>
            <w:tcW w:w="180" w:type="dxa"/>
            <w:vAlign w:val="bottom"/>
          </w:tcPr>
          <w:p>
            <w:pPr>
              <w:spacing w:after="0"/>
              <w:rPr>
                <w:sz w:val="18"/>
                <w:szCs w:val="18"/>
                <w:color w:val="auto"/>
              </w:rPr>
            </w:pPr>
          </w:p>
        </w:tc>
        <w:tc>
          <w:tcPr>
            <w:tcW w:w="130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w w:val="99"/>
              </w:rPr>
              <w:t>Accumulated</w:t>
            </w:r>
          </w:p>
        </w:tc>
        <w:tc>
          <w:tcPr>
            <w:tcW w:w="180" w:type="dxa"/>
            <w:vAlign w:val="bottom"/>
          </w:tcPr>
          <w:p>
            <w:pPr>
              <w:spacing w:after="0"/>
              <w:rPr>
                <w:sz w:val="18"/>
                <w:szCs w:val="18"/>
                <w:color w:val="auto"/>
              </w:rPr>
            </w:pPr>
          </w:p>
        </w:tc>
        <w:tc>
          <w:tcPr>
            <w:tcW w:w="940" w:type="dxa"/>
            <w:vAlign w:val="bottom"/>
            <w:gridSpan w:val="2"/>
          </w:tcPr>
          <w:p>
            <w:pPr>
              <w:ind w:left="120"/>
              <w:spacing w:after="0"/>
              <w:rPr>
                <w:sz w:val="20"/>
                <w:szCs w:val="20"/>
                <w:color w:val="auto"/>
              </w:rPr>
            </w:pPr>
            <w:r>
              <w:rPr>
                <w:rFonts w:ascii="Arial" w:cs="Arial" w:eastAsia="Arial" w:hAnsi="Arial"/>
                <w:sz w:val="18"/>
                <w:szCs w:val="18"/>
                <w:b w:val="1"/>
                <w:bCs w:val="1"/>
                <w:color w:val="auto"/>
              </w:rPr>
              <w:t>Carrying</w:t>
            </w:r>
          </w:p>
        </w:tc>
        <w:tc>
          <w:tcPr>
            <w:tcW w:w="180" w:type="dxa"/>
            <w:vAlign w:val="bottom"/>
          </w:tcPr>
          <w:p>
            <w:pPr>
              <w:spacing w:after="0"/>
              <w:rPr>
                <w:sz w:val="18"/>
                <w:szCs w:val="18"/>
                <w:color w:val="auto"/>
              </w:rPr>
            </w:pPr>
          </w:p>
        </w:tc>
        <w:tc>
          <w:tcPr>
            <w:tcW w:w="1380" w:type="dxa"/>
            <w:vAlign w:val="bottom"/>
            <w:gridSpan w:val="3"/>
          </w:tcPr>
          <w:p>
            <w:pPr>
              <w:ind w:left="140"/>
              <w:spacing w:after="0"/>
              <w:rPr>
                <w:sz w:val="20"/>
                <w:szCs w:val="20"/>
                <w:color w:val="auto"/>
              </w:rPr>
            </w:pPr>
            <w:r>
              <w:rPr>
                <w:rFonts w:ascii="Arial" w:cs="Arial" w:eastAsia="Arial" w:hAnsi="Arial"/>
                <w:sz w:val="18"/>
                <w:szCs w:val="18"/>
                <w:b w:val="1"/>
                <w:bCs w:val="1"/>
                <w:color w:val="auto"/>
              </w:rPr>
              <w:t>Accumulated</w:t>
            </w:r>
          </w:p>
        </w:tc>
      </w:tr>
      <w:tr>
        <w:trPr>
          <w:trHeight w:val="228"/>
        </w:trPr>
        <w:tc>
          <w:tcPr>
            <w:tcW w:w="5200" w:type="dxa"/>
            <w:vAlign w:val="bottom"/>
          </w:tcPr>
          <w:p>
            <w:pPr>
              <w:spacing w:after="0"/>
              <w:rPr>
                <w:sz w:val="19"/>
                <w:szCs w:val="19"/>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Years</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1"/>
              </w:rPr>
              <w:t>Amount</w:t>
            </w:r>
          </w:p>
        </w:tc>
        <w:tc>
          <w:tcPr>
            <w:tcW w:w="180" w:type="dxa"/>
            <w:vAlign w:val="bottom"/>
          </w:tcPr>
          <w:p>
            <w:pPr>
              <w:spacing w:after="0"/>
              <w:rPr>
                <w:sz w:val="19"/>
                <w:szCs w:val="19"/>
                <w:color w:val="auto"/>
              </w:rPr>
            </w:pPr>
          </w:p>
        </w:tc>
        <w:tc>
          <w:tcPr>
            <w:tcW w:w="130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Amortization</w:t>
            </w:r>
          </w:p>
        </w:tc>
        <w:tc>
          <w:tcPr>
            <w:tcW w:w="180" w:type="dxa"/>
            <w:vAlign w:val="bottom"/>
          </w:tcPr>
          <w:p>
            <w:pPr>
              <w:spacing w:after="0"/>
              <w:rPr>
                <w:sz w:val="19"/>
                <w:szCs w:val="19"/>
                <w:color w:val="auto"/>
              </w:rPr>
            </w:pPr>
          </w:p>
        </w:tc>
        <w:tc>
          <w:tcPr>
            <w:tcW w:w="94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19"/>
                <w:szCs w:val="19"/>
                <w:color w:val="auto"/>
              </w:rPr>
            </w:pPr>
          </w:p>
        </w:tc>
        <w:tc>
          <w:tcPr>
            <w:tcW w:w="1380" w:type="dxa"/>
            <w:vAlign w:val="bottom"/>
            <w:gridSpan w:val="3"/>
          </w:tcPr>
          <w:p>
            <w:pPr>
              <w:ind w:left="140"/>
              <w:spacing w:after="0"/>
              <w:rPr>
                <w:sz w:val="20"/>
                <w:szCs w:val="20"/>
                <w:color w:val="auto"/>
              </w:rPr>
            </w:pPr>
            <w:r>
              <w:rPr>
                <w:rFonts w:ascii="Arial" w:cs="Arial" w:eastAsia="Arial" w:hAnsi="Arial"/>
                <w:sz w:val="18"/>
                <w:szCs w:val="18"/>
                <w:b w:val="1"/>
                <w:bCs w:val="1"/>
                <w:color w:val="auto"/>
              </w:rPr>
              <w:t>Amortization</w:t>
            </w:r>
          </w:p>
        </w:tc>
      </w:tr>
      <w:tr>
        <w:trPr>
          <w:trHeight w:val="212"/>
        </w:trPr>
        <w:tc>
          <w:tcPr>
            <w:tcW w:w="520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Customer relationships</w:t>
            </w: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 to 13</w:t>
            </w:r>
          </w:p>
        </w:tc>
        <w:tc>
          <w:tcPr>
            <w:tcW w:w="3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$ 24,640</w:t>
            </w: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0"/>
              </w:rPr>
              <w:t>12,190</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8"/>
              </w:rPr>
              <w:t>24,738</w:t>
            </w: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0"/>
              </w:rPr>
              <w:t>10,268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1 to 6</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4,611</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ind w:right="192"/>
              <w:spacing w:after="0"/>
              <w:rPr>
                <w:sz w:val="20"/>
                <w:szCs w:val="20"/>
                <w:color w:val="auto"/>
              </w:rPr>
            </w:pPr>
            <w:r>
              <w:rPr>
                <w:rFonts w:ascii="Arial" w:cs="Arial" w:eastAsia="Arial" w:hAnsi="Arial"/>
                <w:sz w:val="18"/>
                <w:szCs w:val="18"/>
                <w:color w:val="auto"/>
              </w:rPr>
              <w:t>3,448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4,684</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ind w:right="172"/>
              <w:spacing w:after="0"/>
              <w:rPr>
                <w:sz w:val="20"/>
                <w:szCs w:val="20"/>
                <w:color w:val="auto"/>
              </w:rPr>
            </w:pPr>
            <w:r>
              <w:rPr>
                <w:rFonts w:ascii="Arial" w:cs="Arial" w:eastAsia="Arial" w:hAnsi="Arial"/>
                <w:sz w:val="18"/>
                <w:szCs w:val="18"/>
                <w:color w:val="auto"/>
              </w:rPr>
              <w:t>3,067</w:t>
            </w: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11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8"/>
              </w:rPr>
              <w:t>1 to 8</w:t>
            </w: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Technology and software</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32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4,041</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ind w:right="192"/>
              <w:spacing w:after="0"/>
              <w:rPr>
                <w:sz w:val="20"/>
                <w:szCs w:val="20"/>
                <w:color w:val="auto"/>
              </w:rPr>
            </w:pPr>
            <w:r>
              <w:rPr>
                <w:rFonts w:ascii="Arial" w:cs="Arial" w:eastAsia="Arial" w:hAnsi="Arial"/>
                <w:sz w:val="18"/>
                <w:szCs w:val="18"/>
                <w:color w:val="auto"/>
              </w:rPr>
              <w:t>2,155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4,041</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ind w:right="172"/>
              <w:spacing w:after="0"/>
              <w:rPr>
                <w:sz w:val="20"/>
                <w:szCs w:val="20"/>
                <w:color w:val="auto"/>
              </w:rPr>
            </w:pPr>
            <w:r>
              <w:rPr>
                <w:rFonts w:ascii="Arial" w:cs="Arial" w:eastAsia="Arial" w:hAnsi="Arial"/>
                <w:sz w:val="18"/>
                <w:szCs w:val="18"/>
                <w:color w:val="auto"/>
              </w:rPr>
              <w:t>1,751</w:t>
            </w: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Document reviewer database</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3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450</w:t>
            </w:r>
          </w:p>
        </w:tc>
        <w:tc>
          <w:tcPr>
            <w:tcW w:w="1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180</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450</w:t>
            </w:r>
          </w:p>
        </w:tc>
        <w:tc>
          <w:tcPr>
            <w:tcW w:w="1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r>
      <w:tr>
        <w:trPr>
          <w:trHeight w:val="222"/>
        </w:trPr>
        <w:tc>
          <w:tcPr>
            <w:tcW w:w="5200" w:type="dxa"/>
            <w:vAlign w:val="bottom"/>
          </w:tcPr>
          <w:p>
            <w:pPr>
              <w:ind w:left="220"/>
              <w:spacing w:after="0"/>
              <w:rPr>
                <w:sz w:val="20"/>
                <w:szCs w:val="20"/>
                <w:color w:val="auto"/>
              </w:rPr>
            </w:pPr>
            <w:r>
              <w:rPr>
                <w:rFonts w:ascii="Arial" w:cs="Arial" w:eastAsia="Arial" w:hAnsi="Arial"/>
                <w:sz w:val="18"/>
                <w:szCs w:val="18"/>
                <w:color w:val="auto"/>
              </w:rPr>
              <w:t>Total</w:t>
            </w: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$ 33,892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92"/>
              <w:spacing w:after="0"/>
              <w:rPr>
                <w:sz w:val="20"/>
                <w:szCs w:val="20"/>
                <w:color w:val="auto"/>
              </w:rPr>
            </w:pPr>
            <w:r>
              <w:rPr>
                <w:rFonts w:ascii="Arial" w:cs="Arial" w:eastAsia="Arial" w:hAnsi="Arial"/>
                <w:sz w:val="18"/>
                <w:szCs w:val="18"/>
                <w:color w:val="auto"/>
                <w:w w:val="90"/>
              </w:rPr>
              <w:t>18,004</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52"/>
              <w:spacing w:after="0"/>
              <w:rPr>
                <w:sz w:val="20"/>
                <w:szCs w:val="20"/>
                <w:color w:val="auto"/>
              </w:rPr>
            </w:pPr>
            <w:r>
              <w:rPr>
                <w:rFonts w:ascii="Arial" w:cs="Arial" w:eastAsia="Arial" w:hAnsi="Arial"/>
                <w:sz w:val="18"/>
                <w:szCs w:val="18"/>
                <w:color w:val="auto"/>
                <w:w w:val="98"/>
              </w:rPr>
              <w:t>34,063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72"/>
              <w:spacing w:after="0"/>
              <w:rPr>
                <w:sz w:val="20"/>
                <w:szCs w:val="20"/>
                <w:color w:val="auto"/>
              </w:rPr>
            </w:pPr>
            <w:r>
              <w:rPr>
                <w:rFonts w:ascii="Arial" w:cs="Arial" w:eastAsia="Arial" w:hAnsi="Arial"/>
                <w:sz w:val="18"/>
                <w:szCs w:val="18"/>
                <w:color w:val="auto"/>
                <w:w w:val="90"/>
              </w:rPr>
              <w:t>15,184</w:t>
            </w:r>
          </w:p>
        </w:tc>
        <w:tc>
          <w:tcPr>
            <w:tcW w:w="100" w:type="dxa"/>
            <w:vAlign w:val="bottom"/>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Identifiable intangible assets with finite lives are amortized over their estimated useful lives. The majority of customer relationships are amortized on an accelerated basis to correspond to the cash flows expected to be derived from the relationships. All other customer relationships, non-competition agreements, trade names, technology and software, and the document reviewer database are amortized on a straight-line basis.</w:t>
      </w:r>
    </w:p>
    <w:p>
      <w:pPr>
        <w:spacing w:after="0" w:line="8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Intangible assets amortization expense was $1.5 million and $2.9 million for the three and six months ended June 30, 2013, respectively. Intangible assets amortization expense was $1.6 million and $3.2 million for the three and six months ended June 30, 2012, respectively. Estimated annual intangible assets amortization expense is $5.8 million for 2013, $4.5 million for 2014, $3.1 million for 2015, $1.8 million for 2016, $1.2 million for 2017 and $0.7 million for 2018. Actual future amortization expense could differ from these estimated amounts as a result of future acquisitions and other factors.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Basic earnings per share excludes dilution and is computed by dividing net income by the weighted average number of common shares outstanding for the period, excluding unvested restricted common stock. Diluted earnings per share reflects the potential reduction in earnings per share that could occur if securities or other contracts to issue common stock were exercised or converted into common stock under the treasury stock method. Earnings per share under the basic and diluted computations are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5"/>
          </w:tcPr>
          <w:p>
            <w:pPr>
              <w:ind w:left="1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4"/>
          </w:tcPr>
          <w:p>
            <w:pPr>
              <w:ind w:left="560"/>
              <w:spacing w:after="0"/>
              <w:rPr>
                <w:sz w:val="20"/>
                <w:szCs w:val="20"/>
                <w:color w:val="auto"/>
              </w:rPr>
            </w:pPr>
            <w:r>
              <w:rPr>
                <w:rFonts w:ascii="Arial" w:cs="Arial" w:eastAsia="Arial" w:hAnsi="Arial"/>
                <w:sz w:val="18"/>
                <w:szCs w:val="18"/>
                <w:b w:val="1"/>
                <w:bCs w:val="1"/>
                <w:color w:val="auto"/>
                <w:w w:val="91"/>
              </w:rPr>
              <w:t>June 30,</w:t>
            </w:r>
          </w:p>
        </w:tc>
        <w:tc>
          <w:tcPr>
            <w:tcW w:w="6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2012</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from 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0"/>
              </w:rPr>
              <w:t>15,814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6,305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(Loss) income from discontinued operations, net of tax</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202</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0"/>
              </w:rPr>
              <w:t>15,805</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6,507</w:t>
            </w:r>
          </w:p>
        </w:tc>
        <w:tc>
          <w:tcPr>
            <w:tcW w:w="38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27,142</w:t>
            </w:r>
          </w:p>
        </w:tc>
        <w:tc>
          <w:tcPr>
            <w:tcW w:w="44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712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 – basic</w:t>
            </w:r>
          </w:p>
        </w:tc>
        <w:tc>
          <w:tcPr>
            <w:tcW w:w="140" w:type="dxa"/>
            <w:vAlign w:val="bottom"/>
          </w:tcPr>
          <w:p>
            <w:pPr>
              <w:spacing w:after="0"/>
              <w:rPr>
                <w:sz w:val="24"/>
                <w:szCs w:val="24"/>
                <w:color w:val="auto"/>
              </w:rPr>
            </w:pP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22,351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w w:val="94"/>
              </w:rPr>
              <w:t>21,918</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22,246</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21,847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stock equivalents</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330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 outstanding – diluted</w:t>
            </w: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22,760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w w:val="94"/>
              </w:rPr>
              <w:t>22,248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22,624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22,206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vMerge w:val="restart"/>
          </w:tcPr>
          <w:p>
            <w:pPr>
              <w:spacing w:after="0"/>
              <w:rPr>
                <w:sz w:val="11"/>
                <w:szCs w:val="11"/>
                <w:color w:val="auto"/>
              </w:rPr>
            </w:pPr>
          </w:p>
        </w:tc>
        <w:tc>
          <w:tcPr>
            <w:tcW w:w="7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basic share:</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ind w:left="300"/>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18"/>
                <w:szCs w:val="18"/>
                <w:color w:val="auto"/>
              </w:rPr>
            </w:pPr>
          </w:p>
        </w:tc>
        <w:tc>
          <w:tcPr>
            <w:tcW w:w="32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660" w:type="dxa"/>
            <w:vAlign w:val="bottom"/>
          </w:tcPr>
          <w:p>
            <w:pPr>
              <w:ind w:left="260"/>
              <w:spacing w:after="0"/>
              <w:rPr>
                <w:sz w:val="20"/>
                <w:szCs w:val="20"/>
                <w:color w:val="auto"/>
              </w:rPr>
            </w:pPr>
            <w:r>
              <w:rPr>
                <w:rFonts w:ascii="Arial" w:cs="Arial" w:eastAsia="Arial" w:hAnsi="Arial"/>
                <w:sz w:val="18"/>
                <w:szCs w:val="18"/>
                <w:color w:val="auto"/>
              </w:rPr>
              <w:t>0.29</w:t>
            </w:r>
          </w:p>
        </w:tc>
        <w:tc>
          <w:tcPr>
            <w:tcW w:w="38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1.22</w:t>
            </w:r>
          </w:p>
        </w:tc>
        <w:tc>
          <w:tcPr>
            <w:tcW w:w="44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ind w:left="300"/>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19"/>
                <w:szCs w:val="19"/>
                <w:color w:val="auto"/>
              </w:rPr>
            </w:pPr>
          </w:p>
        </w:tc>
        <w:tc>
          <w:tcPr>
            <w:tcW w:w="32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660" w:type="dxa"/>
            <w:vAlign w:val="bottom"/>
          </w:tcPr>
          <w:p>
            <w:pPr>
              <w:ind w:left="260"/>
              <w:spacing w:after="0"/>
              <w:rPr>
                <w:sz w:val="20"/>
                <w:szCs w:val="20"/>
                <w:color w:val="auto"/>
              </w:rPr>
            </w:pPr>
            <w:r>
              <w:rPr>
                <w:rFonts w:ascii="Arial" w:cs="Arial" w:eastAsia="Arial" w:hAnsi="Arial"/>
                <w:sz w:val="18"/>
                <w:szCs w:val="18"/>
                <w:color w:val="auto"/>
              </w:rPr>
              <w:t>0.30</w:t>
            </w:r>
          </w:p>
        </w:tc>
        <w:tc>
          <w:tcPr>
            <w:tcW w:w="38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1.22</w:t>
            </w:r>
          </w:p>
        </w:tc>
        <w:tc>
          <w:tcPr>
            <w:tcW w:w="44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diluted share:</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ind w:left="340"/>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18"/>
                <w:szCs w:val="18"/>
                <w:color w:val="auto"/>
              </w:rPr>
            </w:pPr>
          </w:p>
        </w:tc>
        <w:tc>
          <w:tcPr>
            <w:tcW w:w="32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660" w:type="dxa"/>
            <w:vAlign w:val="bottom"/>
          </w:tcPr>
          <w:p>
            <w:pPr>
              <w:ind w:left="260"/>
              <w:spacing w:after="0"/>
              <w:rPr>
                <w:sz w:val="20"/>
                <w:szCs w:val="20"/>
                <w:color w:val="auto"/>
              </w:rPr>
            </w:pPr>
            <w:r>
              <w:rPr>
                <w:rFonts w:ascii="Arial" w:cs="Arial" w:eastAsia="Arial" w:hAnsi="Arial"/>
                <w:sz w:val="18"/>
                <w:szCs w:val="18"/>
                <w:color w:val="auto"/>
              </w:rPr>
              <w:t>0.28</w:t>
            </w:r>
          </w:p>
        </w:tc>
        <w:tc>
          <w:tcPr>
            <w:tcW w:w="38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1.20</w:t>
            </w:r>
          </w:p>
        </w:tc>
        <w:tc>
          <w:tcPr>
            <w:tcW w:w="44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ind w:left="340"/>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19"/>
                <w:szCs w:val="19"/>
                <w:color w:val="auto"/>
              </w:rPr>
            </w:pPr>
          </w:p>
        </w:tc>
        <w:tc>
          <w:tcPr>
            <w:tcW w:w="32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660" w:type="dxa"/>
            <w:vAlign w:val="bottom"/>
          </w:tcPr>
          <w:p>
            <w:pPr>
              <w:ind w:left="260"/>
              <w:spacing w:after="0"/>
              <w:rPr>
                <w:sz w:val="20"/>
                <w:szCs w:val="20"/>
                <w:color w:val="auto"/>
              </w:rPr>
            </w:pPr>
            <w:r>
              <w:rPr>
                <w:rFonts w:ascii="Arial" w:cs="Arial" w:eastAsia="Arial" w:hAnsi="Arial"/>
                <w:sz w:val="18"/>
                <w:szCs w:val="18"/>
                <w:color w:val="auto"/>
              </w:rPr>
              <w:t>0.29</w:t>
            </w:r>
          </w:p>
        </w:tc>
        <w:tc>
          <w:tcPr>
            <w:tcW w:w="38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1.20</w:t>
            </w:r>
          </w:p>
        </w:tc>
        <w:tc>
          <w:tcPr>
            <w:tcW w:w="44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computation of diluted earnings per share excludes unvested restricted common stock, outstanding options and other common stock equivalents in periods where inclusion of such potential common stock instruments would be anti-dilutive. The weighted average common stock equivalents presented above do not include the effect of approximately 77,100 and 85,300 common stock equivalents for the three months ended June 30, 2013 and 2012, respectively, and approximately 78,900 and 85,300 common stock equivalents for the six months ended June 30, 2013 and 2012, respectively, because their inclusion would be anti-dilutive.</w:t>
      </w:r>
    </w:p>
    <w:p>
      <w:pPr>
        <w:spacing w:after="0" w:line="191"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2011, the Company and certain of the Company’s subsidiaries as guarantors entered into an Amended and Restated Credit Agreement with various financial institutions, as amended by the first amendment to the credit agreement dated as of August 31, 2012 (collectively, the “2011 Credit Agreement”). The 2011 Credit Agreement replaced the previous Credit Agreement, dated as of June 7, 2006, and all subsequent amendments thereto, by and among the Company and the lenders therein.</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2011 Credit Agreement consists of a senior secured credit facility in an aggregate principal amount of $450.0 million comprised of a five-year revolving credit facility (“Revolver”) under which the Company may borrow from time to time up to $247.5 million and a $202.5 million five-year term loan facility (“Term Loan”) that was funded in a single advance on the closing date of the first amendment. The 2011 Credit Agreement provides for the option to increase the revolving credit facility in an aggregate amount of up to $50 million subject to certain requirements as defined in the 2011 Credit Agreement. The proceeds of the senior secured credit facility were used to refinance existing indebtedness and will continue to be used for working capital, capital expenditures, and other corporate purposes.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obligations under the 2011 Credit Agreement are secured pursuant to a Security Agreement with Bank of America as Administrative Agent. The Security Agreement grants Bank of America, N.A. for the ratable benefit of the lenders under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2011 Credit Agreement, a first-priority lien, subject to permitted liens, on substantially all of the personal property assets of the Company and the subsidiary guarantors. The Revolver and Term Loan are also secured by a pledge of 100% of the voting stock or other equity interests in our domestic subsidiaries and 65% of the voting stock or other equity interests in our foreign subsidiaries.</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Fees and interest on borrowings vary based on our total debt to earnings before interest, taxes, depreciation and amortization (“EBITDA”) ratio as set forth in the 2011 Credit Agreement. Interest is based on a spread over the London Interbank Offered Rate (“LIBOR”) or a spread over the base rate, as selected by the Company. The base rate is the greater of (a) the Federal Funds Rate plus 0.5%, (b) the Prime Rate and (c) except during a Eurodollar Unavailability Period, the Eurodollar Rate plus 1.0%.</w:t>
      </w:r>
    </w:p>
    <w:p>
      <w:pPr>
        <w:spacing w:after="0" w:line="1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Term Loan, as amended, is subject to scheduled quarterly amortization payments equal to 4.9% of the original principal balance in 2012, 11.7% in 2013, 12.4% in 2014, 14.2% in 2015, 14.8% in 2016 and 42.0% in 2017, as set forth in the 2011 Credit Agreement. The maturity date for the Term Loan is August 31, 2017, at which time the outstanding principal balance and all accrued interest will be due and payable in full. All outstanding borrowings under the Revolver, as amended, will be due upon expiration of the 2011 Credit Agreement on August 31, 2017. As of June 30, 2013, the Company has made all scheduled quarterly amortization payments as they have come due in accordance with the Term Loan.</w:t>
      </w:r>
    </w:p>
    <w:p>
      <w:pPr>
        <w:spacing w:after="0" w:line="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2011 Credit Agreement, dividends are restricted to an amount up to $50 million plus 50% of cumulative consolidated net income from the closing date of the 2011 Credit Agreement plus 50% of the net cash proceeds from equity issuances. In addition, certain acquisitions and similar transactions need to be approved by the lenders.</w:t>
      </w:r>
    </w:p>
    <w:p>
      <w:pPr>
        <w:spacing w:after="0" w:line="11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2011 Credit Agreement contains quarterly financial covenants that require us to maintain a minimum fixed charge coverage ratio of 2.25 to 1.00 and a maximum leverage ratio that varies throughout the term and was 3.00 to 1.00 as of June 30, 2013, as those ratios are defined therein, as well as a minimum net worth greater than $150 million. At June 30, 2013, we were in compliance with these financial covenants with a fixed charge coverage ratio of 4.19 to 1.00, a leverage ratio of 1.23 to 1.00, and net worth greater than $150 million. At December 31, 2012, we were also in compliance with these financial debt covenants.</w:t>
      </w:r>
    </w:p>
    <w:p>
      <w:pPr>
        <w:spacing w:after="0" w:line="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borrowing capacity under the 2011 Credit Agreement is reduced by any outstanding letters of credit and payments under the Term Loan. At June 30, 2013, outstanding letters of credit totaled $4.9 million and are primarily used as security deposits for our office facilities. As of June 30, 2013, the unused borrowing capacity under the 2011 Credit Agreement was $242.6 million. Borrowings outstanding under this credit facility at June 30, 2013 totaled $181.3 million, all of which was under the Term Loan. These borrowings carried a weighted average interest rate of 2.2%, including the effect of the interest rate swaps described below in Note 9 “Derivative Instruments and Hedging Activity.” Borrowings outstanding at December 31, 2012 were $192.5 million and carried a weighted average interest rate of 2.5%. Effective March 31, 2013, we have classified as current liabilities the scheduled quarterly principal payments due under the Term Loan within twelve months of the balance sheet date, as we intend to make these payments with cash from operations rather than from availability under the Revolver.</w:t>
      </w:r>
    </w:p>
    <w:p>
      <w:pPr>
        <w:spacing w:after="0" w:line="18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Charges</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second quarter of 2013, we incurred a $0.6 million pretax restructuring charge related to the consolidation of office space in Washington, D.C. The charge primarily consisted of the accrual of remaining lease payments for an office we vacated during the second quarter of 2013. We did not incur a restructuring charge in the first quarter of 2013.</w:t>
      </w:r>
    </w:p>
    <w:p>
      <w:pPr>
        <w:spacing w:after="0" w:line="11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first and second quarters of 2012, we incurred pretax restructuring charges of $0.8 million and $0.2 million, respectively, which primarily consisted of accelerated depreciation on leasehold improvements at one of our New York City office locations, which was relocated in the fourth quarter of 2012, partially offset by the net favorable impact of updated assumptions for lease accruals related to previously vacated office spaces. We did not incur a lease charge related to the relocation of our New York City office space as income from our subtenant is expected to more than offset our remaining lease obligations through 2016, net of our deferred lease liability.</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2013, our restructuring charge liability is $1.2 million, and primarily consists of the present value of remaining lease payments, net of estimated sublease income, for our vacated office spaces in San Francisco and Washington, D.C. The restructuring charge liability is included as a component of Accrued expenses and Deferred compensation and other liabilities.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and Hedging Activity</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20, 2009, we entered into an interest rate swap agreement for a notional amount of $100.0 million effective on March 31, 2009 and ending on February 23, 2012. We entered into this derivative instrument to hedge against the risk of changes in future cash flows related to changes in interest rates on $100.0 million of the total variable-rate borrowings outstanding described above in Note 7 “Borrowings.” Under the terms of the interest rate swap agreement, we received from the counterparty interest on the $100.0 million notional amount based on one-month LIBOR and we paid to the counterparty a fixed rate of 1.715%. This swap effectively converted $100.0 million of our variable-rate borrowings to fixed-rate borrowings beginning on March 31, 2009 and through February 23, 2012.</w:t>
      </w:r>
    </w:p>
    <w:p>
      <w:pPr>
        <w:spacing w:after="0" w:line="11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On December 8, 2011, we entered into a forward amortizing interest rate swap agreement effective on February 29, 2012 and ending on April 14, 2016. We entered into this derivative instrument to continue hedging against the interest rate risks of our variable-rate borrowings described above. The swap had an initial notional amount of $56.6 million and amortizes throughout the term. Under the terms of the interest rate swap agreement, we receive from the counterparty interest on the notional amount based on one-month LIBOR and we pay to the counterparty a fixed rate of 0.9875%.</w:t>
      </w:r>
    </w:p>
    <w:p>
      <w:pPr>
        <w:spacing w:after="0" w:line="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On May 30, 2012, we entered into an additional forward amortizing interest rate swap agreement effective on May 31, 2012 and ending on April 14, 2016. We entered into this derivative instrument to further hedge against the interest rate risks of our variable-rate borrowings described above. The swap had an initial notional amount of $37.0 million and amortizes throughout the term. Under the terms of the interest rate swap agreement, we receive from the counterparty interest on the notional amount based on one-month LIBOR and we pay to the counterparty a fixed rate of 0.70%.</w:t>
      </w:r>
    </w:p>
    <w:p>
      <w:pPr>
        <w:spacing w:after="0" w:line="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4, 2013, we entered into a one-year forward amortizing interest rate swap agreement effective on March 31, 2014 and ending on August 31, 2017. We entered into this derivative instrument to further hedge against the interest rate risks of our variable-rate borrowings described above. The swap has an initial notional amount of $60.0 million and amortizes such that we are effectively hedging 80% of the variable-rate borrowings throughout the term. Under the terms of the interest rate swap agreement, we will receive from the counterparty interest on the notional amount based on one-month LIBOR and we will pay to the counterparty a fixed rate of 0.985%.</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FASB ASC Topic 815, “Derivatives and Hedging,” requires companies to recognize all derivative instruments as either assets or liabilities at fair value on the balance sheet. In accordance with ASC Topic 815, we have designated these derivative instruments as cash flow hedges. As such, changes in the fair value of the derivative instruments are recorded as a component of other comprehensive income (“OCI”) to the extent of effectiveness and reclassified into interest expense upon settlement. The ineffective portion of the change in fair value of the derivative instruments is recognized in interest expense. As of June 30, 2013, it was anticipated that $0.3 million of the net losses, net of tax, currently recorded in OCI will be reclassified into earnings within the next 12 months. Our interest rate swap agreements were effective during the three and six months ended June 30, 2013.</w:t>
      </w:r>
    </w:p>
    <w:p>
      <w:pPr>
        <w:spacing w:after="0" w:line="9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tables below set forth additional information relating to these interest rate swaps designated as cash flow hedging instruments as of June 30, 2013 and December 31, 2012.</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80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3480" w:type="dxa"/>
            <w:vAlign w:val="bottom"/>
            <w:gridSpan w:val="6"/>
          </w:tcPr>
          <w:p>
            <w:pPr>
              <w:ind w:left="100"/>
              <w:spacing w:after="0"/>
              <w:rPr>
                <w:sz w:val="20"/>
                <w:szCs w:val="20"/>
                <w:color w:val="auto"/>
              </w:rPr>
            </w:pPr>
            <w:r>
              <w:rPr>
                <w:rFonts w:ascii="Arial" w:cs="Arial" w:eastAsia="Arial" w:hAnsi="Arial"/>
                <w:sz w:val="18"/>
                <w:szCs w:val="18"/>
                <w:b w:val="1"/>
                <w:bCs w:val="1"/>
                <w:color w:val="auto"/>
                <w:w w:val="95"/>
              </w:rPr>
              <w:t>Fair Value (Derivative Asset and Liability)</w:t>
            </w:r>
          </w:p>
        </w:tc>
        <w:tc>
          <w:tcPr>
            <w:tcW w:w="0" w:type="dxa"/>
            <w:vAlign w:val="bottom"/>
          </w:tcPr>
          <w:p>
            <w:pPr>
              <w:spacing w:after="0"/>
              <w:rPr>
                <w:sz w:val="1"/>
                <w:szCs w:val="1"/>
                <w:color w:val="auto"/>
              </w:rPr>
            </w:pPr>
          </w:p>
        </w:tc>
      </w:tr>
      <w:tr>
        <w:trPr>
          <w:trHeight w:val="197"/>
        </w:trPr>
        <w:tc>
          <w:tcPr>
            <w:tcW w:w="1800" w:type="dxa"/>
            <w:vAlign w:val="bottom"/>
            <w:vMerge w:val="restart"/>
          </w:tcPr>
          <w:p>
            <w:pPr>
              <w:spacing w:after="0"/>
              <w:rPr>
                <w:sz w:val="20"/>
                <w:szCs w:val="20"/>
                <w:color w:val="auto"/>
              </w:rPr>
            </w:pPr>
            <w:r>
              <w:rPr>
                <w:rFonts w:ascii="Arial" w:cs="Arial" w:eastAsia="Arial" w:hAnsi="Arial"/>
                <w:sz w:val="18"/>
                <w:szCs w:val="18"/>
                <w:b w:val="1"/>
                <w:bCs w:val="1"/>
                <w:color w:val="auto"/>
                <w:w w:val="87"/>
              </w:rPr>
              <w:t>Balance Sheet Location</w:t>
            </w:r>
          </w:p>
        </w:tc>
        <w:tc>
          <w:tcPr>
            <w:tcW w:w="6140" w:type="dxa"/>
            <w:vAlign w:val="bottom"/>
            <w:vMerge w:val="restart"/>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ind w:left="120"/>
              <w:spacing w:after="0" w:line="197" w:lineRule="exact"/>
              <w:rPr>
                <w:sz w:val="20"/>
                <w:szCs w:val="20"/>
                <w:color w:val="auto"/>
              </w:rPr>
            </w:pPr>
            <w:r>
              <w:rPr>
                <w:rFonts w:ascii="Arial" w:cs="Arial" w:eastAsia="Arial" w:hAnsi="Arial"/>
                <w:sz w:val="18"/>
                <w:szCs w:val="18"/>
                <w:b w:val="1"/>
                <w:bCs w:val="1"/>
                <w:color w:val="auto"/>
              </w:rPr>
              <w:t>June 30,</w:t>
            </w:r>
          </w:p>
        </w:tc>
        <w:tc>
          <w:tcPr>
            <w:tcW w:w="2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192"/>
              <w:spacing w:after="0" w:line="197" w:lineRule="exact"/>
              <w:rPr>
                <w:sz w:val="20"/>
                <w:szCs w:val="20"/>
                <w:color w:val="auto"/>
              </w:rPr>
            </w:pPr>
            <w:r>
              <w:rPr>
                <w:rFonts w:ascii="Arial" w:cs="Arial" w:eastAsia="Arial" w:hAnsi="Arial"/>
                <w:sz w:val="18"/>
                <w:szCs w:val="18"/>
                <w:b w:val="1"/>
                <w:bCs w:val="1"/>
                <w:color w:val="auto"/>
                <w:w w:val="87"/>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800" w:type="dxa"/>
            <w:vAlign w:val="bottom"/>
            <w:tcBorders>
              <w:bottom w:val="single" w:sz="8" w:color="auto"/>
            </w:tcBorders>
            <w:vMerge w:val="continue"/>
          </w:tcPr>
          <w:p>
            <w:pPr>
              <w:spacing w:after="0"/>
              <w:rPr>
                <w:sz w:val="20"/>
                <w:szCs w:val="20"/>
                <w:color w:val="auto"/>
              </w:rPr>
            </w:pPr>
          </w:p>
        </w:tc>
        <w:tc>
          <w:tcPr>
            <w:tcW w:w="61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2"/>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532"/>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9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non-current assets</w:t>
            </w:r>
          </w:p>
        </w:tc>
        <w:tc>
          <w:tcPr>
            <w:tcW w:w="360" w:type="dxa"/>
            <w:vAlign w:val="bottom"/>
            <w:tcBorders>
              <w:top w:val="single" w:sz="8" w:color="auto"/>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ind w:right="172"/>
              <w:spacing w:after="0" w:line="203" w:lineRule="exact"/>
              <w:rPr>
                <w:sz w:val="20"/>
                <w:szCs w:val="20"/>
                <w:color w:val="auto"/>
              </w:rPr>
            </w:pPr>
            <w:r>
              <w:rPr>
                <w:rFonts w:ascii="Arial" w:cs="Arial" w:eastAsia="Arial" w:hAnsi="Arial"/>
                <w:sz w:val="18"/>
                <w:szCs w:val="18"/>
                <w:color w:val="auto"/>
              </w:rPr>
              <w:t>848</w:t>
            </w: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ind w:right="172"/>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Accrued expenses</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2"/>
              <w:spacing w:after="0"/>
              <w:rPr>
                <w:sz w:val="20"/>
                <w:szCs w:val="20"/>
                <w:color w:val="auto"/>
              </w:rPr>
            </w:pPr>
            <w:r>
              <w:rPr>
                <w:rFonts w:ascii="Arial" w:cs="Arial" w:eastAsia="Arial" w:hAnsi="Arial"/>
                <w:sz w:val="18"/>
                <w:szCs w:val="18"/>
                <w:color w:val="auto"/>
              </w:rPr>
              <w:t>534</w:t>
            </w:r>
          </w:p>
        </w:tc>
        <w:tc>
          <w:tcPr>
            <w:tcW w:w="2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2"/>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compensation and other liabilities</w:t>
            </w: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of the Company’s derivative instruments are transacted under the International Swaps and Derivatives Association (ISDA) master agreements. These agreements permit the net settlement of amounts owed in the event of default and certain other termination events. Although netting is permitted, it is the Company’s policy to record all derivative assets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liabilities on a gross basis on the consolidated balance sheets. If we had elected to net derivative instruments subject to master netting agreements as of June 30, 2013, the impact would have reduced our derivative assets and liabilities by $0.1 million. As of December 31, 2012, all of our derivative instruments were recorded as liabilities.</w:t>
      </w:r>
    </w:p>
    <w:p>
      <w:pPr>
        <w:spacing w:after="0" w:line="113"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We do not use derivative instruments for trading or other speculative purposes, and we did not have any other derivative instruments or hedging activities as of June 30, 2013. Refer to Note 11 “Other Comprehensive Income (Loss)” for additional information on our derivative instruments.</w:t>
      </w:r>
    </w:p>
    <w:p>
      <w:pPr>
        <w:spacing w:after="0" w:line="12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9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Certain of our assets and liabilities are measured at fair value. FASB ASC Topic 820, “Fair Value Measurements and Disclosures,” defines fair value as the price that would be received to sell an asset or the price that would be paid to transfer a liability in an orderly transaction between market participants at the measurement date. ASC Topic 820 establishes a fair value hierarchy for inputs used in measuring fair value and requires companies to maximize the use of observable inputs and minimize the use of unobservable inputs. The fair value hierarchy consists of three levels based on the objectivity of the inputs as follows:</w:t>
      </w:r>
    </w:p>
    <w:p>
      <w:pPr>
        <w:sectPr>
          <w:pgSz w:w="11900" w:h="16838" w:orient="portrait"/>
          <w:cols w:equalWidth="0" w:num="1">
            <w:col w:w="11420"/>
          </w:cols>
          <w:pgMar w:left="240" w:top="459" w:right="239" w:bottom="1440" w:gutter="0" w:footer="0" w:header="0"/>
        </w:sectPr>
      </w:pP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Level 1 Inputs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Quoted prices in active markets for identical assets or liabilities that the reporting entity has the ability to access at the measurement date.</w:t>
      </w:r>
    </w:p>
    <w:p>
      <w:pPr>
        <w:spacing w:after="0" w:line="211" w:lineRule="exact"/>
        <w:rPr>
          <w:sz w:val="20"/>
          <w:szCs w:val="20"/>
          <w:color w:val="auto"/>
        </w:rPr>
      </w:pPr>
    </w:p>
    <w:p>
      <w:pPr>
        <w:sectPr>
          <w:pgSz w:w="11900" w:h="16838" w:orient="portrait"/>
          <w:cols w:equalWidth="0" w:num="2">
            <w:col w:w="1020" w:space="480"/>
            <w:col w:w="9920"/>
          </w:cols>
          <w:pgMar w:left="240" w:top="459" w:right="2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Level 2 Inputs</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Quoted prices in active markets for similar assets or liabilities;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154" w:lineRule="exact"/>
        <w:rPr>
          <w:sz w:val="20"/>
          <w:szCs w:val="20"/>
          <w:color w:val="auto"/>
        </w:rPr>
      </w:pPr>
    </w:p>
    <w:p>
      <w:pPr>
        <w:sectPr>
          <w:pgSz w:w="11900" w:h="16838" w:orient="portrait"/>
          <w:cols w:equalWidth="0" w:num="2">
            <w:col w:w="1020" w:space="480"/>
            <w:col w:w="992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Level 3 Inputs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Unobservable inputs for the asset or liability, and include situations in which there is little, if any, market activity for the asset or liability.</w:t>
      </w:r>
    </w:p>
    <w:p>
      <w:pPr>
        <w:spacing w:after="0" w:line="167" w:lineRule="exact"/>
        <w:rPr>
          <w:sz w:val="20"/>
          <w:szCs w:val="20"/>
          <w:color w:val="auto"/>
        </w:rPr>
      </w:pPr>
    </w:p>
    <w:p>
      <w:pPr>
        <w:sectPr>
          <w:pgSz w:w="11900" w:h="16838" w:orient="portrait"/>
          <w:cols w:equalWidth="0" w:num="2">
            <w:col w:w="1020" w:space="480"/>
            <w:col w:w="9920"/>
          </w:cols>
          <w:pgMar w:left="240" w:top="459" w:right="239" w:bottom="1440" w:gutter="0" w:footer="0" w:header="0"/>
          <w:type w:val="continuous"/>
        </w:sectPr>
      </w:pPr>
    </w:p>
    <w:p>
      <w:pPr>
        <w:jc w:val="both"/>
        <w:spacing w:after="0" w:line="298" w:lineRule="auto"/>
        <w:rPr>
          <w:sz w:val="20"/>
          <w:szCs w:val="20"/>
          <w:color w:val="auto"/>
        </w:rPr>
      </w:pPr>
      <w:r>
        <w:rPr>
          <w:rFonts w:ascii="Arial" w:cs="Arial" w:eastAsia="Arial" w:hAnsi="Arial"/>
          <w:sz w:val="16"/>
          <w:szCs w:val="16"/>
          <w:color w:val="auto"/>
        </w:rPr>
        <w:t>Cash and cash equivalents are stated at cost, which approximates fair market value. The carrying values for receivables from clients, unbilled services, accounts payable, deferred revenues and other accrued liabilities reasonably approximate fair market value due to the nature of the financial instrument and the short-term maturity of these items. The carrying values of our bank borrowings reported in the Consolidated Balance Sheets approximate fair value, using level 2 inputs, since they bear interest at variable rates based on market rates as set forth in the 2011 Credit Agreement. Refer to Note 7 “Borrowings.”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table below sets forth our fair value hierarchy for our financial assets and liabilities measured at fair value on a recurring basis as of June 30, 2013 and December 31, 2012.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Quoted Prices</w:t>
            </w:r>
          </w:p>
        </w:tc>
        <w:tc>
          <w:tcPr>
            <w:tcW w:w="38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Significant</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220" w:type="dxa"/>
            <w:vAlign w:val="bottom"/>
            <w:gridSpan w:val="2"/>
          </w:tcPr>
          <w:p>
            <w:pPr>
              <w:ind w:left="280"/>
              <w:spacing w:after="0"/>
              <w:rPr>
                <w:sz w:val="20"/>
                <w:szCs w:val="20"/>
                <w:color w:val="auto"/>
              </w:rPr>
            </w:pPr>
            <w:r>
              <w:rPr>
                <w:rFonts w:ascii="Arial" w:cs="Arial" w:eastAsia="Arial" w:hAnsi="Arial"/>
                <w:sz w:val="18"/>
                <w:szCs w:val="18"/>
                <w:b w:val="1"/>
                <w:bCs w:val="1"/>
                <w:color w:val="auto"/>
              </w:rPr>
              <w:t>in Active</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center"/>
              <w:ind w:right="192"/>
              <w:spacing w:after="0"/>
              <w:rPr>
                <w:sz w:val="20"/>
                <w:szCs w:val="20"/>
                <w:color w:val="auto"/>
              </w:rPr>
            </w:pPr>
            <w:r>
              <w:rPr>
                <w:rFonts w:ascii="Arial" w:cs="Arial" w:eastAsia="Arial" w:hAnsi="Arial"/>
                <w:sz w:val="18"/>
                <w:szCs w:val="18"/>
                <w:b w:val="1"/>
                <w:bCs w:val="1"/>
                <w:color w:val="auto"/>
                <w:w w:val="91"/>
              </w:rPr>
              <w:t>Other</w:t>
            </w:r>
          </w:p>
        </w:tc>
        <w:tc>
          <w:tcPr>
            <w:tcW w:w="38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Significant</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Markets for</w:t>
            </w:r>
          </w:p>
        </w:tc>
        <w:tc>
          <w:tcPr>
            <w:tcW w:w="38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Observable</w:t>
            </w:r>
          </w:p>
        </w:tc>
        <w:tc>
          <w:tcPr>
            <w:tcW w:w="38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Unobservable</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Identical Assets</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center"/>
              <w:ind w:right="192"/>
              <w:spacing w:after="0"/>
              <w:rPr>
                <w:sz w:val="20"/>
                <w:szCs w:val="20"/>
                <w:color w:val="auto"/>
              </w:rPr>
            </w:pPr>
            <w:r>
              <w:rPr>
                <w:rFonts w:ascii="Arial" w:cs="Arial" w:eastAsia="Arial" w:hAnsi="Arial"/>
                <w:sz w:val="18"/>
                <w:szCs w:val="18"/>
                <w:b w:val="1"/>
                <w:bCs w:val="1"/>
                <w:color w:val="auto"/>
                <w:w w:val="88"/>
              </w:rPr>
              <w:t>Inputs</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center"/>
              <w:ind w:right="212"/>
              <w:spacing w:after="0"/>
              <w:rPr>
                <w:sz w:val="20"/>
                <w:szCs w:val="20"/>
                <w:color w:val="auto"/>
              </w:rPr>
            </w:pPr>
            <w:r>
              <w:rPr>
                <w:rFonts w:ascii="Arial" w:cs="Arial" w:eastAsia="Arial" w:hAnsi="Arial"/>
                <w:sz w:val="18"/>
                <w:szCs w:val="18"/>
                <w:b w:val="1"/>
                <w:bCs w:val="1"/>
                <w:color w:val="auto"/>
                <w:w w:val="88"/>
              </w:rPr>
              <w:t>Inputs</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1220" w:type="dxa"/>
            <w:vAlign w:val="bottom"/>
            <w:gridSpan w:val="2"/>
          </w:tcPr>
          <w:p>
            <w:pPr>
              <w:ind w:left="280"/>
              <w:spacing w:after="0"/>
              <w:rPr>
                <w:sz w:val="20"/>
                <w:szCs w:val="20"/>
                <w:color w:val="auto"/>
              </w:rPr>
            </w:pPr>
            <w:r>
              <w:rPr>
                <w:rFonts w:ascii="Arial" w:cs="Arial" w:eastAsia="Arial" w:hAnsi="Arial"/>
                <w:sz w:val="18"/>
                <w:szCs w:val="18"/>
                <w:b w:val="1"/>
                <w:bCs w:val="1"/>
                <w:color w:val="auto"/>
              </w:rPr>
              <w:t>(Level 1)</w:t>
            </w:r>
          </w:p>
        </w:tc>
        <w:tc>
          <w:tcPr>
            <w:tcW w:w="380" w:type="dxa"/>
            <w:vAlign w:val="bottom"/>
          </w:tcPr>
          <w:p>
            <w:pPr>
              <w:spacing w:after="0"/>
              <w:rPr>
                <w:sz w:val="19"/>
                <w:szCs w:val="19"/>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(Level 2)</w:t>
            </w:r>
          </w:p>
        </w:tc>
        <w:tc>
          <w:tcPr>
            <w:tcW w:w="380" w:type="dxa"/>
            <w:vAlign w:val="bottom"/>
          </w:tcPr>
          <w:p>
            <w:pPr>
              <w:spacing w:after="0"/>
              <w:rPr>
                <w:sz w:val="19"/>
                <w:szCs w:val="19"/>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(Level 3)</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tcBorders>
              <w:top w:val="single" w:sz="8" w:color="CCEEFF"/>
            </w:tcBorders>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June 30, 2013</w:t>
            </w:r>
          </w:p>
        </w:tc>
        <w:tc>
          <w:tcPr>
            <w:tcW w:w="5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Promissory note</w:t>
            </w:r>
          </w:p>
        </w:tc>
        <w:tc>
          <w:tcPr>
            <w:tcW w:w="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2,822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2,822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Interest rate swaps</w:t>
            </w:r>
          </w:p>
        </w:tc>
        <w:tc>
          <w:tcPr>
            <w:tcW w:w="5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729</w:t>
            </w:r>
          </w:p>
        </w:tc>
        <w:tc>
          <w:tcPr>
            <w:tcW w:w="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729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2,822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3,551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5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525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Deferred acquisition payments</w:t>
            </w:r>
          </w:p>
        </w:tc>
        <w:tc>
          <w:tcPr>
            <w:tcW w:w="5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10,192</w:t>
            </w:r>
          </w:p>
        </w:tc>
        <w:tc>
          <w:tcPr>
            <w:tcW w:w="3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10,192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525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10,192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10,717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December 31, 2012</w:t>
            </w:r>
          </w:p>
        </w:tc>
        <w:tc>
          <w:tcPr>
            <w:tcW w:w="5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w:t>
            </w: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Promissory note</w:t>
            </w: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640" w:type="dxa"/>
            <w:vAlign w:val="bottom"/>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2,907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2,907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Interest rate swaps</w:t>
            </w: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640" w:type="dxa"/>
            <w:vAlign w:val="bottom"/>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72"/>
              <w:spacing w:after="0"/>
              <w:rPr>
                <w:sz w:val="20"/>
                <w:szCs w:val="20"/>
                <w:color w:val="auto"/>
              </w:rPr>
            </w:pPr>
            <w:r>
              <w:rPr>
                <w:rFonts w:ascii="Arial" w:cs="Arial" w:eastAsia="Arial" w:hAnsi="Arial"/>
                <w:sz w:val="18"/>
                <w:szCs w:val="18"/>
                <w:color w:val="auto"/>
              </w:rPr>
              <w:t>932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Deferred acquisition payments</w:t>
            </w:r>
          </w:p>
        </w:tc>
        <w:tc>
          <w:tcPr>
            <w:tcW w:w="5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10,525</w:t>
            </w:r>
          </w:p>
        </w:tc>
        <w:tc>
          <w:tcPr>
            <w:tcW w:w="3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10,525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4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5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932</w:t>
            </w:r>
          </w:p>
        </w:tc>
        <w:tc>
          <w:tcPr>
            <w:tcW w:w="380" w:type="dxa"/>
            <w:vAlign w:val="bottom"/>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10,525</w:t>
            </w:r>
          </w:p>
        </w:tc>
        <w:tc>
          <w:tcPr>
            <w:tcW w:w="38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11,457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As part of the consideration received for the sale of our AA practice on December 30, 2011, the Company received a $3.5 million promissory note payable over four years. The note will be paid to the Company in quarterly installments of approximately $0.2 million which began in the second quarter of 2013 with a final payment of approximately $1.1 million on the maturity date in December 2015. The fair value of the note is based on the net present value of the projected cash flows using a discount rate of 14%, which accounts for the risks associated with the note. The decrease in the fair value of the note during the first six months of 2013 reflects the principal payment received, less the accretion of interest income in excess of interest payments received.</w:t>
      </w:r>
    </w:p>
    <w:p>
      <w:pPr>
        <w:spacing w:after="0" w:line="11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fair value of the interest rate swaps was derived using estimates to settle the interest rate swap agreements, which are based on the net present value of expected future cash flows on each leg of the swaps utilizing market-based inputs and discount rates reflecting the risks involved.</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Deferred acquisition payments are included in the total purchase consideration for certain business acquisitions the Company has completed, and represent fixed future payments owed to the sellers of those businesses. The fair value of the deferred acquisition payments is based on the payment terms, which range from one to two years, and the net present value of expected cash flows using a discount rate ranging from 4% to 8%. The decrease in the fair value of the deferred acquisition payments during the first six months of 2013 reflects a payment of principal and accrued interest during the second quarter of 2013, less the accretion of interest expense in excess of interest payments made.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Other Comprehensive Income (Loss)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the components of other comprehensive (loss) income, net of tax, for the three and six months ended June 30, 2013 and 2012.</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60" w:type="dxa"/>
            <w:vAlign w:val="bottom"/>
            <w:gridSpan w:val="10"/>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gridSpan w:val="11"/>
          </w:tcPr>
          <w:p>
            <w:pPr>
              <w:jc w:val="center"/>
              <w:ind w:left="312"/>
              <w:spacing w:after="0"/>
              <w:rPr>
                <w:sz w:val="20"/>
                <w:szCs w:val="20"/>
                <w:color w:val="auto"/>
              </w:rPr>
            </w:pPr>
            <w:r>
              <w:rPr>
                <w:rFonts w:ascii="Arial" w:cs="Arial" w:eastAsia="Arial" w:hAnsi="Arial"/>
                <w:sz w:val="18"/>
                <w:szCs w:val="18"/>
                <w:b w:val="1"/>
                <w:bCs w:val="1"/>
                <w:color w:val="auto"/>
                <w:w w:val="89"/>
              </w:rPr>
              <w:t>Three Months Ended</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8"/>
                <w:szCs w:val="18"/>
                <w:b w:val="1"/>
                <w:bCs w:val="1"/>
                <w:color w:val="auto"/>
                <w:w w:val="87"/>
              </w:rPr>
              <w:t>June 30, 2013</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June 30, 2012</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340"/>
              <w:spacing w:after="0" w:line="196" w:lineRule="exact"/>
              <w:rPr>
                <w:sz w:val="20"/>
                <w:szCs w:val="20"/>
                <w:color w:val="auto"/>
              </w:rPr>
            </w:pPr>
            <w:r>
              <w:rPr>
                <w:rFonts w:ascii="Arial" w:cs="Arial" w:eastAsia="Arial" w:hAnsi="Arial"/>
                <w:sz w:val="18"/>
                <w:szCs w:val="18"/>
                <w:b w:val="1"/>
                <w:bCs w:val="1"/>
                <w:color w:val="auto"/>
                <w:w w:val="90"/>
              </w:rPr>
              <w:t>Tax</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3"/>
          </w:tcPr>
          <w:p>
            <w:pPr>
              <w:jc w:val="center"/>
              <w:ind w:right="440"/>
              <w:spacing w:after="0" w:line="196" w:lineRule="exact"/>
              <w:rPr>
                <w:sz w:val="20"/>
                <w:szCs w:val="20"/>
                <w:color w:val="auto"/>
              </w:rPr>
            </w:pPr>
            <w:r>
              <w:rPr>
                <w:rFonts w:ascii="Arial" w:cs="Arial" w:eastAsia="Arial" w:hAnsi="Arial"/>
                <w:sz w:val="18"/>
                <w:szCs w:val="18"/>
                <w:b w:val="1"/>
                <w:bCs w:val="1"/>
                <w:color w:val="auto"/>
                <w:w w:val="90"/>
              </w:rPr>
              <w:t>Tax</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Before</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5"/>
              </w:rPr>
              <w:t>(Expense)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ind w:left="20"/>
              <w:spacing w:after="0"/>
              <w:rPr>
                <w:sz w:val="20"/>
                <w:szCs w:val="20"/>
                <w:color w:val="auto"/>
              </w:rPr>
            </w:pPr>
            <w:r>
              <w:rPr>
                <w:rFonts w:ascii="Arial" w:cs="Arial" w:eastAsia="Arial" w:hAnsi="Arial"/>
                <w:sz w:val="18"/>
                <w:szCs w:val="18"/>
                <w:b w:val="1"/>
                <w:bCs w:val="1"/>
                <w:color w:val="auto"/>
              </w:rPr>
              <w:t>Net of</w:t>
            </w:r>
          </w:p>
        </w:tc>
        <w:tc>
          <w:tcPr>
            <w:tcW w:w="8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Before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85"/>
              </w:rPr>
              <w:t>(Expense)</w:t>
            </w:r>
          </w:p>
        </w:tc>
        <w:tc>
          <w:tcPr>
            <w:tcW w:w="80" w:type="dxa"/>
            <w:vAlign w:val="bottom"/>
          </w:tcPr>
          <w:p>
            <w:pPr>
              <w:spacing w:after="0"/>
              <w:rPr>
                <w:sz w:val="18"/>
                <w:szCs w:val="18"/>
                <w:color w:val="auto"/>
              </w:rPr>
            </w:pPr>
          </w:p>
        </w:tc>
        <w:tc>
          <w:tcPr>
            <w:tcW w:w="840" w:type="dxa"/>
            <w:vAlign w:val="bottom"/>
            <w:gridSpan w:val="3"/>
          </w:tcPr>
          <w:p>
            <w:pPr>
              <w:ind w:left="100"/>
              <w:spacing w:after="0"/>
              <w:rPr>
                <w:sz w:val="20"/>
                <w:szCs w:val="20"/>
                <w:color w:val="auto"/>
              </w:rPr>
            </w:pPr>
            <w:r>
              <w:rPr>
                <w:rFonts w:ascii="Arial" w:cs="Arial" w:eastAsia="Arial" w:hAnsi="Arial"/>
                <w:sz w:val="18"/>
                <w:szCs w:val="18"/>
                <w:b w:val="1"/>
                <w:bCs w:val="1"/>
                <w:color w:val="auto"/>
              </w:rPr>
              <w:t>Net of</w:t>
            </w:r>
          </w:p>
        </w:tc>
      </w:tr>
      <w:tr>
        <w:trPr>
          <w:trHeight w:val="228"/>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ind w:right="52"/>
              <w:spacing w:after="0"/>
              <w:rPr>
                <w:sz w:val="20"/>
                <w:szCs w:val="20"/>
                <w:color w:val="auto"/>
              </w:rPr>
            </w:pPr>
            <w:r>
              <w:rPr>
                <w:rFonts w:ascii="Arial" w:cs="Arial" w:eastAsia="Arial" w:hAnsi="Arial"/>
                <w:sz w:val="18"/>
                <w:szCs w:val="18"/>
                <w:b w:val="1"/>
                <w:bCs w:val="1"/>
                <w:color w:val="auto"/>
                <w:w w:val="82"/>
              </w:rPr>
              <w:t>Taxes</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5"/>
              </w:rPr>
              <w:t>Benefit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3"/>
          </w:tcPr>
          <w:p>
            <w:pPr>
              <w:ind w:left="40"/>
              <w:spacing w:after="0"/>
              <w:rPr>
                <w:sz w:val="20"/>
                <w:szCs w:val="20"/>
                <w:color w:val="auto"/>
              </w:rPr>
            </w:pPr>
            <w:r>
              <w:rPr>
                <w:rFonts w:ascii="Arial" w:cs="Arial" w:eastAsia="Arial" w:hAnsi="Arial"/>
                <w:sz w:val="18"/>
                <w:szCs w:val="18"/>
                <w:b w:val="1"/>
                <w:bCs w:val="1"/>
                <w:color w:val="auto"/>
              </w:rPr>
              <w:t>Taxes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78"/>
              </w:rPr>
              <w:t>Taxes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8"/>
              </w:rPr>
              <w:t>Benefit</w:t>
            </w:r>
          </w:p>
        </w:tc>
        <w:tc>
          <w:tcPr>
            <w:tcW w:w="80" w:type="dxa"/>
            <w:vAlign w:val="bottom"/>
          </w:tcPr>
          <w:p>
            <w:pPr>
              <w:spacing w:after="0"/>
              <w:rPr>
                <w:sz w:val="19"/>
                <w:szCs w:val="19"/>
                <w:color w:val="auto"/>
              </w:rPr>
            </w:pPr>
          </w:p>
        </w:tc>
        <w:tc>
          <w:tcPr>
            <w:tcW w:w="840" w:type="dxa"/>
            <w:vAlign w:val="bottom"/>
            <w:gridSpan w:val="3"/>
          </w:tcPr>
          <w:p>
            <w:pPr>
              <w:ind w:left="120"/>
              <w:spacing w:after="0"/>
              <w:rPr>
                <w:sz w:val="20"/>
                <w:szCs w:val="20"/>
                <w:color w:val="auto"/>
              </w:rPr>
            </w:pPr>
            <w:r>
              <w:rPr>
                <w:rFonts w:ascii="Arial" w:cs="Arial" w:eastAsia="Arial" w:hAnsi="Arial"/>
                <w:sz w:val="18"/>
                <w:szCs w:val="18"/>
                <w:b w:val="1"/>
                <w:bCs w:val="1"/>
                <w:color w:val="auto"/>
              </w:rPr>
              <w:t>Taxes</w:t>
            </w:r>
          </w:p>
        </w:tc>
      </w:tr>
      <w:tr>
        <w:trPr>
          <w:trHeight w:val="198"/>
        </w:trPr>
        <w:tc>
          <w:tcPr>
            <w:tcW w:w="20" w:type="dxa"/>
            <w:vAlign w:val="bottom"/>
          </w:tcPr>
          <w:p>
            <w:pPr>
              <w:spacing w:after="0"/>
              <w:rPr>
                <w:sz w:val="17"/>
                <w:szCs w:val="17"/>
                <w:color w:val="auto"/>
              </w:rPr>
            </w:pPr>
          </w:p>
        </w:tc>
        <w:tc>
          <w:tcPr>
            <w:tcW w:w="4720" w:type="dxa"/>
            <w:vAlign w:val="bottom"/>
            <w:tcBorders>
              <w:top w:val="single" w:sz="8" w:color="CCEEFF"/>
            </w:tcBorders>
            <w:shd w:val="clear" w:color="auto" w:fill="CCEEFF"/>
          </w:tcPr>
          <w:p>
            <w:pPr>
              <w:spacing w:after="0" w:line="198" w:lineRule="exact"/>
              <w:rPr>
                <w:sz w:val="20"/>
                <w:szCs w:val="20"/>
                <w:color w:val="auto"/>
              </w:rPr>
            </w:pPr>
            <w:r>
              <w:rPr>
                <w:rFonts w:ascii="Arial" w:cs="Arial" w:eastAsia="Arial" w:hAnsi="Arial"/>
                <w:sz w:val="18"/>
                <w:szCs w:val="18"/>
                <w:color w:val="auto"/>
              </w:rPr>
              <w:t>Other comprehensive income (loss):</w:t>
            </w: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91</w:t>
            </w:r>
          </w:p>
        </w:tc>
        <w:tc>
          <w:tcPr>
            <w:tcW w:w="40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center"/>
              <w:ind w:left="312"/>
              <w:spacing w:after="0"/>
              <w:rPr>
                <w:sz w:val="20"/>
                <w:szCs w:val="20"/>
                <w:color w:val="auto"/>
              </w:rPr>
            </w:pPr>
            <w:r>
              <w:rPr>
                <w:rFonts w:ascii="Arial" w:cs="Arial" w:eastAsia="Arial" w:hAnsi="Arial"/>
                <w:sz w:val="18"/>
                <w:szCs w:val="18"/>
                <w:color w:val="auto"/>
                <w:w w:val="99"/>
              </w:rPr>
              <w:t>—</w:t>
            </w:r>
          </w:p>
        </w:tc>
        <w:tc>
          <w:tcPr>
            <w:tcW w:w="220" w:type="dxa"/>
            <w:vAlign w:val="bottom"/>
            <w:gridSpan w:val="2"/>
          </w:tcPr>
          <w:p>
            <w:pPr>
              <w:jc w:val="right"/>
              <w:ind w:right="12"/>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center"/>
              <w:ind w:left="72"/>
              <w:spacing w:after="0"/>
              <w:rPr>
                <w:sz w:val="20"/>
                <w:szCs w:val="20"/>
                <w:color w:val="auto"/>
              </w:rPr>
            </w:pPr>
            <w:r>
              <w:rPr>
                <w:rFonts w:ascii="Arial" w:cs="Arial" w:eastAsia="Arial" w:hAnsi="Arial"/>
                <w:sz w:val="18"/>
                <w:szCs w:val="18"/>
                <w:color w:val="auto"/>
                <w:w w:val="90"/>
              </w:rPr>
              <w:t>(446)</w:t>
            </w:r>
          </w:p>
        </w:tc>
        <w:tc>
          <w:tcPr>
            <w:tcW w:w="60" w:type="dxa"/>
            <w:vAlign w:val="bottom"/>
          </w:tcPr>
          <w:p>
            <w:pPr>
              <w:spacing w:after="0"/>
              <w:rPr>
                <w:sz w:val="18"/>
                <w:szCs w:val="18"/>
                <w:color w:val="auto"/>
              </w:rPr>
            </w:pPr>
          </w:p>
        </w:tc>
        <w:tc>
          <w:tcPr>
            <w:tcW w:w="380" w:type="dxa"/>
            <w:vAlign w:val="bottom"/>
            <w:gridSpan w:val="4"/>
          </w:tcPr>
          <w:p>
            <w:pPr>
              <w:ind w:left="1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gain (loss) on cash flow hedges: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Change in fair value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882</w:t>
            </w:r>
          </w:p>
        </w:tc>
        <w:tc>
          <w:tcPr>
            <w:tcW w:w="40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gridSpan w:val="2"/>
          </w:tcPr>
          <w:p>
            <w:pPr>
              <w:jc w:val="right"/>
              <w:ind w:right="12"/>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center"/>
              <w:ind w:left="72"/>
              <w:spacing w:after="0"/>
              <w:rPr>
                <w:sz w:val="20"/>
                <w:szCs w:val="20"/>
                <w:color w:val="auto"/>
              </w:rPr>
            </w:pPr>
            <w:r>
              <w:rPr>
                <w:rFonts w:ascii="Arial" w:cs="Arial" w:eastAsia="Arial" w:hAnsi="Arial"/>
                <w:sz w:val="18"/>
                <w:szCs w:val="18"/>
                <w:color w:val="auto"/>
                <w:w w:val="90"/>
              </w:rPr>
              <w:t>(519)</w:t>
            </w:r>
          </w:p>
        </w:tc>
        <w:tc>
          <w:tcPr>
            <w:tcW w:w="60" w:type="dxa"/>
            <w:vAlign w:val="bottom"/>
          </w:tcPr>
          <w:p>
            <w:pPr>
              <w:spacing w:after="0"/>
              <w:rPr>
                <w:sz w:val="18"/>
                <w:szCs w:val="18"/>
                <w:color w:val="auto"/>
              </w:rPr>
            </w:pPr>
          </w:p>
        </w:tc>
        <w:tc>
          <w:tcPr>
            <w:tcW w:w="380" w:type="dxa"/>
            <w:vAlign w:val="bottom"/>
            <w:gridSpan w:val="4"/>
          </w:tcPr>
          <w:p>
            <w:pPr>
              <w:ind w:left="1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Reclassification adjustments into earnings</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142</w:t>
            </w: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center"/>
              <w:ind w:left="112"/>
              <w:spacing w:after="0"/>
              <w:rPr>
                <w:sz w:val="20"/>
                <w:szCs w:val="20"/>
                <w:color w:val="auto"/>
              </w:rPr>
            </w:pPr>
            <w:r>
              <w:rPr>
                <w:rFonts w:ascii="Arial" w:cs="Arial" w:eastAsia="Arial" w:hAnsi="Arial"/>
                <w:sz w:val="18"/>
                <w:szCs w:val="18"/>
                <w:color w:val="auto"/>
                <w:w w:val="86"/>
              </w:rPr>
              <w:t>118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Net unrealized gain (loss)</w:t>
            </w: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1,024</w:t>
            </w:r>
          </w:p>
        </w:tc>
        <w:tc>
          <w:tcPr>
            <w:tcW w:w="60" w:type="dxa"/>
            <w:vAlign w:val="bottom"/>
            <w:tcBorders>
              <w:bottom w:val="single" w:sz="8" w:color="auto"/>
            </w:tcBorders>
          </w:tcPr>
          <w:p>
            <w:pPr>
              <w:spacing w:after="0"/>
              <w:rPr>
                <w:sz w:val="20"/>
                <w:szCs w:val="20"/>
                <w:color w:val="auto"/>
              </w:rPr>
            </w:pPr>
          </w:p>
        </w:tc>
        <w:tc>
          <w:tcPr>
            <w:tcW w:w="200" w:type="dxa"/>
            <w:vAlign w:val="bottom"/>
            <w:gridSpan w:val="2"/>
          </w:tcPr>
          <w:p>
            <w:pPr>
              <w:spacing w:after="0"/>
              <w:rPr>
                <w:sz w:val="20"/>
                <w:szCs w:val="20"/>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center"/>
              <w:ind w:left="72"/>
              <w:spacing w:after="0"/>
              <w:rPr>
                <w:sz w:val="20"/>
                <w:szCs w:val="20"/>
                <w:color w:val="auto"/>
              </w:rPr>
            </w:pPr>
            <w:r>
              <w:rPr>
                <w:rFonts w:ascii="Arial" w:cs="Arial" w:eastAsia="Arial" w:hAnsi="Arial"/>
                <w:sz w:val="18"/>
                <w:szCs w:val="18"/>
                <w:color w:val="auto"/>
                <w:w w:val="90"/>
              </w:rPr>
              <w:t>(401)</w:t>
            </w:r>
          </w:p>
        </w:tc>
        <w:tc>
          <w:tcPr>
            <w:tcW w:w="60" w:type="dxa"/>
            <w:vAlign w:val="bottom"/>
          </w:tcPr>
          <w:p>
            <w:pPr>
              <w:spacing w:after="0"/>
              <w:rPr>
                <w:sz w:val="20"/>
                <w:szCs w:val="20"/>
                <w:color w:val="auto"/>
              </w:rPr>
            </w:pPr>
          </w:p>
        </w:tc>
        <w:tc>
          <w:tcPr>
            <w:tcW w:w="140" w:type="dxa"/>
            <w:vAlign w:val="bottom"/>
            <w:gridSpan w:val="2"/>
          </w:tcPr>
          <w:p>
            <w:pPr>
              <w:spacing w:after="0"/>
              <w:rPr>
                <w:sz w:val="20"/>
                <w:szCs w:val="20"/>
                <w:color w:val="auto"/>
              </w:rPr>
            </w:pPr>
          </w:p>
        </w:tc>
        <w:tc>
          <w:tcPr>
            <w:tcW w:w="2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1,115</w:t>
            </w: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center"/>
              <w:ind w:left="72"/>
              <w:spacing w:after="0"/>
              <w:rPr>
                <w:sz w:val="20"/>
                <w:szCs w:val="20"/>
                <w:color w:val="auto"/>
              </w:rPr>
            </w:pPr>
            <w:r>
              <w:rPr>
                <w:rFonts w:ascii="Arial" w:cs="Arial" w:eastAsia="Arial" w:hAnsi="Arial"/>
                <w:sz w:val="18"/>
                <w:szCs w:val="18"/>
                <w:color w:val="auto"/>
                <w:w w:val="90"/>
              </w:rPr>
              <w:t>(847)</w:t>
            </w: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18"/>
                <w:szCs w:val="18"/>
                <w:color w:val="auto"/>
              </w:rPr>
            </w:pPr>
          </w:p>
        </w:tc>
      </w:tr>
      <w:tr>
        <w:trPr>
          <w:trHeight w:val="492"/>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gridSpan w:val="8"/>
          </w:tcPr>
          <w:p>
            <w:pPr>
              <w:jc w:val="center"/>
              <w:spacing w:after="0"/>
              <w:rPr>
                <w:sz w:val="20"/>
                <w:szCs w:val="20"/>
                <w:color w:val="auto"/>
              </w:rPr>
            </w:pPr>
            <w:r>
              <w:rPr>
                <w:rFonts w:ascii="Arial" w:cs="Arial" w:eastAsia="Arial" w:hAnsi="Arial"/>
                <w:sz w:val="18"/>
                <w:szCs w:val="18"/>
                <w:b w:val="1"/>
                <w:bCs w:val="1"/>
                <w:color w:val="auto"/>
                <w:w w:val="88"/>
              </w:rPr>
              <w:t>Six Months Ended</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gridSpan w:val="7"/>
          </w:tcPr>
          <w:p>
            <w:pPr>
              <w:jc w:val="center"/>
              <w:spacing w:after="0"/>
              <w:rPr>
                <w:sz w:val="20"/>
                <w:szCs w:val="20"/>
                <w:color w:val="auto"/>
              </w:rPr>
            </w:pPr>
            <w:r>
              <w:rPr>
                <w:rFonts w:ascii="Arial" w:cs="Arial" w:eastAsia="Arial" w:hAnsi="Arial"/>
                <w:sz w:val="18"/>
                <w:szCs w:val="18"/>
                <w:b w:val="1"/>
                <w:bCs w:val="1"/>
                <w:color w:val="auto"/>
                <w:w w:val="88"/>
              </w:rPr>
              <w:t>Six Months Ended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8"/>
                <w:szCs w:val="18"/>
                <w:b w:val="1"/>
                <w:bCs w:val="1"/>
                <w:color w:val="auto"/>
                <w:w w:val="87"/>
              </w:rPr>
              <w:t>June 30, 2013</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8"/>
                <w:szCs w:val="18"/>
                <w:b w:val="1"/>
                <w:bCs w:val="1"/>
                <w:color w:val="auto"/>
                <w:w w:val="87"/>
              </w:rPr>
              <w:t>June 30, 2012</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220"/>
              <w:spacing w:after="0" w:line="196" w:lineRule="exact"/>
              <w:rPr>
                <w:sz w:val="20"/>
                <w:szCs w:val="20"/>
                <w:color w:val="auto"/>
              </w:rPr>
            </w:pPr>
            <w:r>
              <w:rPr>
                <w:rFonts w:ascii="Arial" w:cs="Arial" w:eastAsia="Arial" w:hAnsi="Arial"/>
                <w:sz w:val="18"/>
                <w:szCs w:val="18"/>
                <w:b w:val="1"/>
                <w:bCs w:val="1"/>
                <w:color w:val="auto"/>
                <w:w w:val="90"/>
              </w:rPr>
              <w:t>Tax</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3"/>
          </w:tcPr>
          <w:p>
            <w:pPr>
              <w:jc w:val="center"/>
              <w:ind w:right="280"/>
              <w:spacing w:after="0" w:line="196" w:lineRule="exact"/>
              <w:rPr>
                <w:sz w:val="20"/>
                <w:szCs w:val="20"/>
                <w:color w:val="auto"/>
              </w:rPr>
            </w:pPr>
            <w:r>
              <w:rPr>
                <w:rFonts w:ascii="Arial" w:cs="Arial" w:eastAsia="Arial" w:hAnsi="Arial"/>
                <w:sz w:val="18"/>
                <w:szCs w:val="18"/>
                <w:b w:val="1"/>
                <w:bCs w:val="1"/>
                <w:color w:val="auto"/>
                <w:w w:val="90"/>
              </w:rPr>
              <w:t>Tax</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7"/>
              </w:rPr>
              <w:t>Before</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5"/>
              </w:rPr>
              <w:t>(Expense)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ind w:left="80"/>
              <w:spacing w:after="0"/>
              <w:rPr>
                <w:sz w:val="20"/>
                <w:szCs w:val="20"/>
                <w:color w:val="auto"/>
              </w:rPr>
            </w:pPr>
            <w:r>
              <w:rPr>
                <w:rFonts w:ascii="Arial" w:cs="Arial" w:eastAsia="Arial" w:hAnsi="Arial"/>
                <w:sz w:val="18"/>
                <w:szCs w:val="18"/>
                <w:b w:val="1"/>
                <w:bCs w:val="1"/>
                <w:color w:val="auto"/>
              </w:rPr>
              <w:t>Net of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1"/>
              </w:rPr>
              <w:t>Before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5"/>
              </w:rPr>
              <w:t>(Expense)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Arial" w:cs="Arial" w:eastAsia="Arial" w:hAnsi="Arial"/>
                <w:sz w:val="18"/>
                <w:szCs w:val="18"/>
                <w:b w:val="1"/>
                <w:bCs w:val="1"/>
                <w:color w:val="auto"/>
              </w:rPr>
              <w:t>Net of</w:t>
            </w:r>
          </w:p>
        </w:tc>
      </w:tr>
      <w:tr>
        <w:trPr>
          <w:trHeight w:val="228"/>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b w:val="1"/>
                <w:bCs w:val="1"/>
                <w:color w:val="auto"/>
                <w:w w:val="90"/>
              </w:rPr>
              <w:t>Taxes</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Benefit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3"/>
          </w:tcPr>
          <w:p>
            <w:pPr>
              <w:ind w:left="100"/>
              <w:spacing w:after="0"/>
              <w:rPr>
                <w:sz w:val="20"/>
                <w:szCs w:val="20"/>
                <w:color w:val="auto"/>
              </w:rPr>
            </w:pPr>
            <w:r>
              <w:rPr>
                <w:rFonts w:ascii="Arial" w:cs="Arial" w:eastAsia="Arial" w:hAnsi="Arial"/>
                <w:sz w:val="18"/>
                <w:szCs w:val="18"/>
                <w:b w:val="1"/>
                <w:bCs w:val="1"/>
                <w:color w:val="auto"/>
              </w:rPr>
              <w:t>Taxes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3"/>
              </w:rPr>
              <w:t>Taxes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Benefit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ind w:left="20"/>
              <w:spacing w:after="0"/>
              <w:rPr>
                <w:sz w:val="20"/>
                <w:szCs w:val="20"/>
                <w:color w:val="auto"/>
              </w:rPr>
            </w:pPr>
            <w:r>
              <w:rPr>
                <w:rFonts w:ascii="Arial" w:cs="Arial" w:eastAsia="Arial" w:hAnsi="Arial"/>
                <w:sz w:val="18"/>
                <w:szCs w:val="18"/>
                <w:b w:val="1"/>
                <w:bCs w:val="1"/>
                <w:color w:val="auto"/>
              </w:rPr>
              <w:t>Taxes</w:t>
            </w:r>
          </w:p>
        </w:tc>
      </w:tr>
      <w:tr>
        <w:trPr>
          <w:trHeight w:val="198"/>
        </w:trPr>
        <w:tc>
          <w:tcPr>
            <w:tcW w:w="20" w:type="dxa"/>
            <w:vAlign w:val="bottom"/>
          </w:tcPr>
          <w:p>
            <w:pPr>
              <w:spacing w:after="0"/>
              <w:rPr>
                <w:sz w:val="17"/>
                <w:szCs w:val="17"/>
                <w:color w:val="auto"/>
              </w:rPr>
            </w:pPr>
          </w:p>
        </w:tc>
        <w:tc>
          <w:tcPr>
            <w:tcW w:w="4720" w:type="dxa"/>
            <w:vAlign w:val="bottom"/>
            <w:tcBorders>
              <w:top w:val="single" w:sz="8" w:color="CCEEFF"/>
            </w:tcBorders>
            <w:shd w:val="clear" w:color="auto" w:fill="CCEEFF"/>
          </w:tcPr>
          <w:p>
            <w:pPr>
              <w:spacing w:after="0" w:line="198" w:lineRule="exact"/>
              <w:rPr>
                <w:sz w:val="20"/>
                <w:szCs w:val="20"/>
                <w:color w:val="auto"/>
              </w:rPr>
            </w:pPr>
            <w:r>
              <w:rPr>
                <w:rFonts w:ascii="Arial" w:cs="Arial" w:eastAsia="Arial" w:hAnsi="Arial"/>
                <w:sz w:val="18"/>
                <w:szCs w:val="18"/>
                <w:color w:val="auto"/>
              </w:rPr>
              <w:t>Other comprehensive income (loss):</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(957)</w:t>
            </w:r>
          </w:p>
        </w:tc>
        <w:tc>
          <w:tcPr>
            <w:tcW w:w="40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360"/>
              <w:spacing w:after="0"/>
              <w:rPr>
                <w:sz w:val="20"/>
                <w:szCs w:val="20"/>
                <w:color w:val="auto"/>
              </w:rPr>
            </w:pPr>
            <w:r>
              <w:rPr>
                <w:rFonts w:ascii="Arial" w:cs="Arial" w:eastAsia="Arial" w:hAnsi="Arial"/>
                <w:sz w:val="18"/>
                <w:szCs w:val="18"/>
                <w:color w:val="auto"/>
                <w:w w:val="99"/>
              </w:rPr>
              <w:t>(906)</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3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gain (loss) on cash flow hedges: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Change in fair value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857</w:t>
            </w:r>
          </w:p>
        </w:tc>
        <w:tc>
          <w:tcPr>
            <w:tcW w:w="40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center"/>
              <w:ind w:left="452"/>
              <w:spacing w:after="0"/>
              <w:rPr>
                <w:sz w:val="20"/>
                <w:szCs w:val="20"/>
                <w:color w:val="auto"/>
              </w:rPr>
            </w:pPr>
            <w:r>
              <w:rPr>
                <w:rFonts w:ascii="Arial" w:cs="Arial" w:eastAsia="Arial" w:hAnsi="Arial"/>
                <w:sz w:val="18"/>
                <w:szCs w:val="18"/>
                <w:color w:val="auto"/>
                <w:w w:val="90"/>
              </w:rPr>
              <w:t>(340)</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center"/>
              <w:ind w:left="272"/>
              <w:spacing w:after="0"/>
              <w:rPr>
                <w:sz w:val="20"/>
                <w:szCs w:val="20"/>
                <w:color w:val="auto"/>
              </w:rPr>
            </w:pPr>
            <w:r>
              <w:rPr>
                <w:rFonts w:ascii="Arial" w:cs="Arial" w:eastAsia="Arial" w:hAnsi="Arial"/>
                <w:sz w:val="18"/>
                <w:szCs w:val="18"/>
                <w:color w:val="auto"/>
                <w:w w:val="86"/>
              </w:rPr>
              <w:t>517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(692)</w:t>
            </w:r>
          </w:p>
        </w:tc>
        <w:tc>
          <w:tcPr>
            <w:tcW w:w="3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Reclassification adjustments into earnings</w:t>
            </w: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279</w:t>
            </w: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center"/>
              <w:ind w:left="452"/>
              <w:spacing w:after="0"/>
              <w:rPr>
                <w:sz w:val="20"/>
                <w:szCs w:val="20"/>
                <w:color w:val="auto"/>
              </w:rPr>
            </w:pPr>
            <w:r>
              <w:rPr>
                <w:rFonts w:ascii="Arial" w:cs="Arial" w:eastAsia="Arial" w:hAnsi="Arial"/>
                <w:sz w:val="18"/>
                <w:szCs w:val="18"/>
                <w:color w:val="auto"/>
                <w:w w:val="90"/>
              </w:rPr>
              <w:t>(112)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center"/>
              <w:ind w:left="272"/>
              <w:spacing w:after="0"/>
              <w:rPr>
                <w:sz w:val="20"/>
                <w:szCs w:val="20"/>
                <w:color w:val="auto"/>
              </w:rPr>
            </w:pPr>
            <w:r>
              <w:rPr>
                <w:rFonts w:ascii="Arial" w:cs="Arial" w:eastAsia="Arial" w:hAnsi="Arial"/>
                <w:sz w:val="18"/>
                <w:szCs w:val="18"/>
                <w:color w:val="auto"/>
                <w:w w:val="86"/>
              </w:rPr>
              <w:t>167</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Net unrealized gain (loss)</w:t>
            </w:r>
          </w:p>
        </w:tc>
        <w:tc>
          <w:tcPr>
            <w:tcW w:w="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1,136</w:t>
            </w:r>
          </w:p>
        </w:tc>
        <w:tc>
          <w:tcPr>
            <w:tcW w:w="120" w:type="dxa"/>
            <w:vAlign w:val="bottom"/>
            <w:tcBorders>
              <w:bottom w:val="single" w:sz="8" w:color="auto"/>
            </w:tcBorders>
            <w:gridSpan w:val="2"/>
          </w:tcPr>
          <w:p>
            <w:pPr>
              <w:spacing w:after="0"/>
              <w:rPr>
                <w:sz w:val="20"/>
                <w:szCs w:val="20"/>
                <w:color w:val="auto"/>
              </w:rPr>
            </w:pPr>
          </w:p>
        </w:tc>
        <w:tc>
          <w:tcPr>
            <w:tcW w:w="180" w:type="dxa"/>
            <w:vAlign w:val="bottom"/>
            <w:gridSpan w:val="2"/>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tcPr>
          <w:p>
            <w:pPr>
              <w:jc w:val="center"/>
              <w:ind w:left="452"/>
              <w:spacing w:after="0"/>
              <w:rPr>
                <w:sz w:val="20"/>
                <w:szCs w:val="20"/>
                <w:color w:val="auto"/>
              </w:rPr>
            </w:pPr>
            <w:r>
              <w:rPr>
                <w:rFonts w:ascii="Arial" w:cs="Arial" w:eastAsia="Arial" w:hAnsi="Arial"/>
                <w:sz w:val="18"/>
                <w:szCs w:val="18"/>
                <w:color w:val="auto"/>
                <w:w w:val="90"/>
              </w:rPr>
              <w:t>(452)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center"/>
              <w:ind w:left="272"/>
              <w:spacing w:after="0"/>
              <w:rPr>
                <w:sz w:val="20"/>
                <w:szCs w:val="20"/>
                <w:color w:val="auto"/>
              </w:rPr>
            </w:pPr>
            <w:r>
              <w:rPr>
                <w:rFonts w:ascii="Arial" w:cs="Arial" w:eastAsia="Arial" w:hAnsi="Arial"/>
                <w:sz w:val="18"/>
                <w:szCs w:val="18"/>
                <w:color w:val="auto"/>
                <w:w w:val="86"/>
              </w:rPr>
              <w:t>684</w:t>
            </w: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(320)</w:t>
            </w:r>
          </w:p>
        </w:tc>
        <w:tc>
          <w:tcPr>
            <w:tcW w:w="40" w:type="dxa"/>
            <w:vAlign w:val="bottom"/>
            <w:tcBorders>
              <w:bottom w:val="single" w:sz="8" w:color="auto"/>
            </w:tcBorders>
          </w:tcPr>
          <w:p>
            <w:pPr>
              <w:spacing w:after="0"/>
              <w:rPr>
                <w:sz w:val="20"/>
                <w:szCs w:val="20"/>
                <w:color w:val="auto"/>
              </w:rPr>
            </w:pPr>
          </w:p>
        </w:tc>
        <w:tc>
          <w:tcPr>
            <w:tcW w:w="180" w:type="dxa"/>
            <w:vAlign w:val="bottom"/>
            <w:gridSpan w:val="2"/>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auto"/>
            </w:tcBorders>
            <w:gridSpan w:val="2"/>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shd w:val="clear" w:color="auto" w:fill="CCEEFF"/>
          </w:tcPr>
          <w:p>
            <w:pPr>
              <w:jc w:val="center"/>
              <w:ind w:left="452"/>
              <w:spacing w:after="0"/>
              <w:rPr>
                <w:sz w:val="20"/>
                <w:szCs w:val="20"/>
                <w:color w:val="auto"/>
              </w:rPr>
            </w:pPr>
            <w:r>
              <w:rPr>
                <w:rFonts w:ascii="Arial" w:cs="Arial" w:eastAsia="Arial" w:hAnsi="Arial"/>
                <w:sz w:val="18"/>
                <w:szCs w:val="18"/>
                <w:color w:val="auto"/>
                <w:w w:val="90"/>
              </w:rPr>
              <w:t>(401)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center"/>
              <w:ind w:left="232"/>
              <w:spacing w:after="0"/>
              <w:rPr>
                <w:sz w:val="20"/>
                <w:szCs w:val="20"/>
                <w:color w:val="auto"/>
              </w:rPr>
            </w:pPr>
            <w:r>
              <w:rPr>
                <w:rFonts w:ascii="Arial" w:cs="Arial" w:eastAsia="Arial" w:hAnsi="Arial"/>
                <w:sz w:val="18"/>
                <w:szCs w:val="18"/>
                <w:color w:val="auto"/>
                <w:w w:val="90"/>
              </w:rPr>
              <w:t>(222)</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(413)</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18"/>
                <w:szCs w:val="18"/>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Amounts reclassified from accumulated other comprehensive loss related to our cash flow hedges are recorded to Interest expense, net of interest income.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loss, net of tax, includes the following components: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60" w:type="dxa"/>
            <w:vAlign w:val="bottom"/>
            <w:gridSpan w:val="2"/>
          </w:tcPr>
          <w:p>
            <w:pPr>
              <w:ind w:left="160"/>
              <w:spacing w:after="0"/>
              <w:rPr>
                <w:sz w:val="20"/>
                <w:szCs w:val="20"/>
                <w:color w:val="auto"/>
              </w:rPr>
            </w:pPr>
            <w:r>
              <w:rPr>
                <w:rFonts w:ascii="Arial" w:cs="Arial" w:eastAsia="Arial" w:hAnsi="Arial"/>
                <w:sz w:val="18"/>
                <w:szCs w:val="18"/>
                <w:b w:val="1"/>
                <w:bCs w:val="1"/>
                <w:color w:val="auto"/>
                <w:w w:val="98"/>
              </w:rPr>
              <w:t>Foreign Currency</w:t>
            </w:r>
          </w:p>
        </w:tc>
        <w:tc>
          <w:tcPr>
            <w:tcW w:w="20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Net Unrealized</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ind w:right="292"/>
              <w:spacing w:after="0"/>
              <w:rPr>
                <w:sz w:val="20"/>
                <w:szCs w:val="20"/>
                <w:color w:val="auto"/>
              </w:rPr>
            </w:pPr>
            <w:r>
              <w:rPr>
                <w:rFonts w:ascii="Arial" w:cs="Arial" w:eastAsia="Arial" w:hAnsi="Arial"/>
                <w:sz w:val="18"/>
                <w:szCs w:val="18"/>
                <w:b w:val="1"/>
                <w:bCs w:val="1"/>
                <w:color w:val="auto"/>
                <w:w w:val="96"/>
              </w:rPr>
              <w:t>Translation</w:t>
            </w:r>
          </w:p>
        </w:tc>
        <w:tc>
          <w:tcPr>
            <w:tcW w:w="20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Gains/(Losses) on</w:t>
            </w:r>
          </w:p>
        </w:tc>
        <w:tc>
          <w:tcPr>
            <w:tcW w:w="180" w:type="dxa"/>
            <w:vAlign w:val="bottom"/>
          </w:tcPr>
          <w:p>
            <w:pPr>
              <w:spacing w:after="0"/>
              <w:rPr>
                <w:sz w:val="18"/>
                <w:szCs w:val="18"/>
                <w:color w:val="auto"/>
              </w:rPr>
            </w:pPr>
          </w:p>
        </w:tc>
        <w:tc>
          <w:tcPr>
            <w:tcW w:w="18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Accumulated Other</w:t>
            </w:r>
          </w:p>
        </w:tc>
      </w:tr>
      <w:tr>
        <w:trPr>
          <w:trHeight w:val="228"/>
        </w:trPr>
        <w:tc>
          <w:tcPr>
            <w:tcW w:w="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ind w:right="252"/>
              <w:spacing w:after="0"/>
              <w:rPr>
                <w:sz w:val="20"/>
                <w:szCs w:val="20"/>
                <w:color w:val="auto"/>
              </w:rPr>
            </w:pPr>
            <w:r>
              <w:rPr>
                <w:rFonts w:ascii="Arial" w:cs="Arial" w:eastAsia="Arial" w:hAnsi="Arial"/>
                <w:sz w:val="18"/>
                <w:szCs w:val="18"/>
                <w:b w:val="1"/>
                <w:bCs w:val="1"/>
                <w:color w:val="auto"/>
                <w:w w:val="89"/>
              </w:rPr>
              <w:t>Adjustments</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center"/>
              <w:ind w:right="212"/>
              <w:spacing w:after="0"/>
              <w:rPr>
                <w:sz w:val="20"/>
                <w:szCs w:val="20"/>
                <w:color w:val="auto"/>
              </w:rPr>
            </w:pPr>
            <w:r>
              <w:rPr>
                <w:rFonts w:ascii="Arial" w:cs="Arial" w:eastAsia="Arial" w:hAnsi="Arial"/>
                <w:sz w:val="18"/>
                <w:szCs w:val="18"/>
                <w:b w:val="1"/>
                <w:bCs w:val="1"/>
                <w:color w:val="auto"/>
                <w:w w:val="89"/>
              </w:rPr>
              <w:t>Derivatives</w:t>
            </w:r>
          </w:p>
        </w:tc>
        <w:tc>
          <w:tcPr>
            <w:tcW w:w="180" w:type="dxa"/>
            <w:vAlign w:val="bottom"/>
          </w:tcPr>
          <w:p>
            <w:pPr>
              <w:spacing w:after="0"/>
              <w:rPr>
                <w:sz w:val="19"/>
                <w:szCs w:val="19"/>
                <w:color w:val="auto"/>
              </w:rPr>
            </w:pPr>
          </w:p>
        </w:tc>
        <w:tc>
          <w:tcPr>
            <w:tcW w:w="18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4"/>
              </w:rPr>
              <w:t>Comprehensive Loss</w:t>
            </w:r>
          </w:p>
        </w:tc>
      </w:tr>
      <w:tr>
        <w:trPr>
          <w:trHeight w:val="212"/>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Balance, December 31, 2012</w:t>
            </w:r>
          </w:p>
        </w:tc>
        <w:tc>
          <w:tcPr>
            <w:tcW w:w="19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rPr>
              <w:t>(805)</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center"/>
              <w:ind w:right="92"/>
              <w:spacing w:after="0"/>
              <w:rPr>
                <w:sz w:val="20"/>
                <w:szCs w:val="20"/>
                <w:color w:val="auto"/>
              </w:rPr>
            </w:pPr>
            <w:r>
              <w:rPr>
                <w:rFonts w:ascii="Arial" w:cs="Arial" w:eastAsia="Arial" w:hAnsi="Arial"/>
                <w:sz w:val="18"/>
                <w:szCs w:val="18"/>
                <w:color w:val="auto"/>
                <w:w w:val="90"/>
              </w:rPr>
              <w:t>(554)</w:t>
            </w:r>
          </w:p>
        </w:tc>
        <w:tc>
          <w:tcPr>
            <w:tcW w:w="1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rPr>
              <w:t>(1,359)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Current period change</w:t>
            </w:r>
          </w:p>
        </w:tc>
        <w:tc>
          <w:tcPr>
            <w:tcW w:w="19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(906)</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color w:val="auto"/>
                <w:w w:val="86"/>
              </w:rPr>
              <w:t>684</w:t>
            </w:r>
          </w:p>
        </w:tc>
        <w:tc>
          <w:tcPr>
            <w:tcW w:w="1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2013</w:t>
            </w:r>
          </w:p>
        </w:tc>
        <w:tc>
          <w:tcPr>
            <w:tcW w:w="19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rPr>
              <w:t>(1,711)</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center"/>
              <w:ind w:right="92"/>
              <w:spacing w:after="0"/>
              <w:rPr>
                <w:sz w:val="20"/>
                <w:szCs w:val="20"/>
                <w:color w:val="auto"/>
              </w:rPr>
            </w:pPr>
            <w:r>
              <w:rPr>
                <w:rFonts w:ascii="Arial" w:cs="Arial" w:eastAsia="Arial" w:hAnsi="Arial"/>
                <w:sz w:val="18"/>
                <w:szCs w:val="18"/>
                <w:color w:val="auto"/>
                <w:w w:val="86"/>
              </w:rPr>
              <w:t>130</w:t>
            </w:r>
          </w:p>
        </w:tc>
        <w:tc>
          <w:tcPr>
            <w:tcW w:w="1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rPr>
              <w:t>(1,581)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260" w:type="dxa"/>
            <w:vAlign w:val="bottom"/>
            <w:gridSpan w:val="2"/>
          </w:tcPr>
          <w:p>
            <w:pPr>
              <w:jc w:val="right"/>
              <w:ind w:right="212"/>
              <w:spacing w:after="0"/>
              <w:rPr>
                <w:sz w:val="20"/>
                <w:szCs w:val="20"/>
                <w:color w:val="auto"/>
              </w:rPr>
            </w:pPr>
            <w:r>
              <w:rPr>
                <w:rFonts w:ascii="Arial" w:cs="Arial" w:eastAsia="Arial" w:hAnsi="Arial"/>
                <w:sz w:val="18"/>
                <w:szCs w:val="18"/>
                <w:color w:val="auto"/>
              </w:rPr>
              <w:t>13</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Company’s effective tax rates for the three months ended June 30, 2013 and 2012 were 44.9% and 49.7%, respectively. The Company’s effective tax rates for the six months ended June 30, 2013 and 2012 were 43.6% and 52.9%, respectively. The effective tax rate for the second quarter of 2013 was higher than the statutory rate, inclusive of state income taxes, due primarily to the impact of foreign losses with no tax benefit and certain non-deductible business expenses. The effective tax rate for the first half of 2013 was higher than the statutory rate, inclusive of state income taxes, due primarily to the impact of foreign losses with no tax benefit and certain non-deductible business expenses, partially offset by the impact of the retroactive reinstatement of the federal research and development tax credit, which was enacted during the first quarter of 2013. The effective tax rates for both periods in 2012 were higher than the statutory rate, inclusive of state income taxes, due primarily to the impact of foreign losses with no tax benefit and certain non-deductible business expenses. The foreign losses with no tax benefit had a larger impact on our effective tax rate in both periods of 2012 compared to 2013 due to the lower pretax income from continuing operations for both the three and six months ended June 30, 2012.</w:t>
      </w:r>
    </w:p>
    <w:p>
      <w:pPr>
        <w:spacing w:after="0" w:line="168" w:lineRule="exact"/>
        <w:rPr>
          <w:sz w:val="20"/>
          <w:szCs w:val="20"/>
          <w:color w:val="auto"/>
        </w:rPr>
      </w:pPr>
    </w:p>
    <w:p>
      <w:pPr>
        <w:ind w:right="7520" w:firstLine="8"/>
        <w:spacing w:after="0" w:line="410" w:lineRule="auto"/>
        <w:tabs>
          <w:tab w:leader="none" w:pos="446"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 Litigation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Qui Tam Action</w:t>
      </w:r>
    </w:p>
    <w:p>
      <w:pPr>
        <w:spacing w:after="0" w:line="14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On December 9, 2009, plaintiff, Associates Against Outlier Fraud, filed a first amended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complaint against Huron Consulting Group Inc. and others under the federal and New York state False Claims Act (“FCA”) in the United States District Court for the Southern District of New York. The federal and state FCA authorize private individuals (known as “relators”) to sue on behalf of the government (known as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alleging that false or fraudulent claims were knowingly submitted to the government. Once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is filed, the government may elect to intervene in the action. If the government declines to intervene, the relator may proceed with the action. Under the federal and state FCA, the government may recover treble damages and civil penalties (civil penalties of up to $11,000 per violation under the federal FCA and $12,000 per violation under the state FCA). On January 6, 2010, the United States declined to intervene in the lawsuit. After the Court granted Huron’s motion to dismiss without prejudice, on September 29, 2010, the relator filed a second amended complaint alleging that Huron and others caused St. Vincent Catholic Medical Center to receive more than $30 million in inflated outlier payments under the Medicare and Medicaid programs in violation of the federal and state FCA and seeking to recover an unspecified amount of civil penalties. On March 8, 2013, the Court granted Huron’s motion for summary judgment and dismissed the relator’s second amended complaint in its entirety with prejudice. As a result, we reversed the charge of $1.2 million relating to settlement discussions which we recorded in the second quarter of 2012, in accordance with FASB ASC Topic 450, “Contingencies.” The relator filed an appeal on April 2, 2013. On April 8, 2013, Huron filed an appeal of an earlier denial of a motion to dismiss filed by Huron which argued that the relator’s action was barred because, under the FCA jurisdictional bar, the action was based on publicly disclosed information and the relator cannot qualify as an original source. We continue to believe that the claims are without merit and intend to vigorously defend ourselves in this matter.</w:t>
      </w:r>
    </w:p>
    <w:p>
      <w:pPr>
        <w:spacing w:after="0" w:line="10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or threatened with any other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Indemnification</w:t>
      </w:r>
    </w:p>
    <w:p>
      <w:pPr>
        <w:spacing w:after="0" w:line="9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Guarantees in the form of letters of credit totaling $4.9 million and $5.1 million were outstanding at June 30, 2013 and December 31, 2012, respectively, to support certain office lease obligations as well as Middle East performance and bid bonds.</w:t>
      </w:r>
    </w:p>
    <w:p>
      <w:pPr>
        <w:spacing w:after="0" w:line="10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To the extent permitted by law, our bylaws and articles of incorporation require that we indemnify our officers and directors against judgments, fines and amounts paid in settlement, including attorneys’ fees, incurred in connection with civil or criminal action or proceedings, as it relates to their services to us if such person acted in good faith. Although there is no limit on the amount of indemnification, we may have recourse against our insurance carrier for certain payments made.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Segments are defined by FASB ASC Topic 280, “Segment Reporting,” as components of a company in which separate financial information is available and is evaluated regularly by the chief operating decision maker, or decision-making group, in deciding how to allocate resources and in assessing performance. In the first quarter of 2013, the Company reorganized its internal financial reporting structure. Under the new structure, the Company began reporting information as five operating segments: Huron Healthcare; Huron Legal; Huron Education and Life Sciences; Huron Financial; and All Other. Our chief operating decision maker manages the business under these five operating segments.</w:t>
      </w:r>
    </w:p>
    <w:p>
      <w:pPr>
        <w:spacing w:after="0" w:line="14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this new internal financial reporting structure, the former Health and Education Consulting segment became two separate segments: Huron Healthcare and Huron Education and Life Sciences. These practices continue to share a significant number of academic medical center clients and will continue to closely collaborate in the market. The Legal Consulting segment is now referred to as Huron Legal and the Financial Consulting segment is now referred to as Huron Financial. The structure of the Legal Consulting and Financial Consulting segments did not change. In addition, certain immaterial practices which were historically part of our Health and Education Consulting segment were combined and disclosed in our All Other segment. While our consolidated results have not been impacted, we have restated our historical segment information for consistent presentation.</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Huron Healthcare</w:t>
      </w:r>
    </w:p>
    <w:p>
      <w:pPr>
        <w:spacing w:after="0" w:line="96" w:lineRule="exact"/>
        <w:rPr>
          <w:sz w:val="20"/>
          <w:szCs w:val="20"/>
          <w:color w:val="auto"/>
        </w:rPr>
      </w:pPr>
    </w:p>
    <w:p>
      <w:pPr>
        <w:jc w:val="both"/>
        <w:ind w:left="700"/>
        <w:spacing w:after="0" w:line="256" w:lineRule="auto"/>
        <w:rPr>
          <w:sz w:val="20"/>
          <w:szCs w:val="20"/>
          <w:color w:val="auto"/>
        </w:rPr>
      </w:pPr>
      <w:r>
        <w:rPr>
          <w:rFonts w:ascii="Arial" w:cs="Arial" w:eastAsia="Arial" w:hAnsi="Arial"/>
          <w:sz w:val="18"/>
          <w:szCs w:val="18"/>
          <w:color w:val="auto"/>
        </w:rPr>
        <w:t>Our Huron Healthcare segment provides consulting services to national and regional integrated health systems, physician practices, community hospitals, managed care organizations, and academic medical centers. This segment provides consulting services related to hospital or healthcare organization performance improvement, revenue cycle improvement, clinical quality and care variation, labor productivity, non-labor cost management, information technology, patient flow improvement and physician practice management.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Huron Legal</w:t>
      </w:r>
    </w:p>
    <w:p>
      <w:pPr>
        <w:spacing w:after="0" w:line="96" w:lineRule="exact"/>
        <w:rPr>
          <w:sz w:val="20"/>
          <w:szCs w:val="20"/>
          <w:color w:val="auto"/>
        </w:rPr>
      </w:pPr>
    </w:p>
    <w:p>
      <w:pPr>
        <w:jc w:val="both"/>
        <w:ind w:left="700"/>
        <w:spacing w:after="0" w:line="255" w:lineRule="auto"/>
        <w:rPr>
          <w:sz w:val="20"/>
          <w:szCs w:val="20"/>
          <w:color w:val="auto"/>
        </w:rPr>
      </w:pPr>
      <w:r>
        <w:rPr>
          <w:rFonts w:ascii="Arial" w:cs="Arial" w:eastAsia="Arial" w:hAnsi="Arial"/>
          <w:sz w:val="18"/>
          <w:szCs w:val="18"/>
          <w:color w:val="auto"/>
        </w:rPr>
        <w:t>Our Huron Legal segment provides advisory and business services to assist law departments of major global corporations and law firms with their strategy, organizational design and development, operational efficiency, and cost effectiveness. These results-driven services help reduce the amounts they spend on legal services and enhance client service. Our expertise focuses on strategic and management consulting, cost management, and technology and information management including matter management, records management, digital evidence, document review and discovery services.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Huron Education and Life Sciences</w:t>
      </w:r>
    </w:p>
    <w:p>
      <w:pPr>
        <w:spacing w:after="0" w:line="96" w:lineRule="exact"/>
        <w:rPr>
          <w:sz w:val="20"/>
          <w:szCs w:val="20"/>
          <w:color w:val="auto"/>
        </w:rPr>
      </w:pPr>
    </w:p>
    <w:p>
      <w:pPr>
        <w:jc w:val="both"/>
        <w:ind w:left="700"/>
        <w:spacing w:after="0" w:line="298" w:lineRule="auto"/>
        <w:rPr>
          <w:sz w:val="20"/>
          <w:szCs w:val="20"/>
          <w:color w:val="auto"/>
        </w:rPr>
      </w:pPr>
      <w:r>
        <w:rPr>
          <w:rFonts w:ascii="Arial" w:cs="Arial" w:eastAsia="Arial" w:hAnsi="Arial"/>
          <w:sz w:val="16"/>
          <w:szCs w:val="16"/>
          <w:color w:val="auto"/>
        </w:rPr>
        <w:t>Our Huron Education and Life Science segment provides consulting services to universities, research institutions, healthcare organizations, academic medical centers, and pharmaceutical, medical device manufacturer and biotechnology companies. We develop and implement performance improvement, technology, and research enterprise solutions to help clients address challenges relating to financial management, strategy, operational and organizational effectiveness, research administration, and regulatory compliance.</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Huron Financial</w:t>
      </w:r>
    </w:p>
    <w:p>
      <w:pPr>
        <w:spacing w:after="0" w:line="96" w:lineRule="exact"/>
        <w:rPr>
          <w:sz w:val="20"/>
          <w:szCs w:val="20"/>
          <w:color w:val="auto"/>
        </w:rPr>
      </w:pPr>
    </w:p>
    <w:p>
      <w:pPr>
        <w:jc w:val="both"/>
        <w:ind w:left="700"/>
        <w:spacing w:after="0" w:line="294" w:lineRule="auto"/>
        <w:rPr>
          <w:sz w:val="20"/>
          <w:szCs w:val="20"/>
          <w:color w:val="auto"/>
        </w:rPr>
      </w:pPr>
      <w:r>
        <w:rPr>
          <w:rFonts w:ascii="Arial" w:cs="Arial" w:eastAsia="Arial" w:hAnsi="Arial"/>
          <w:sz w:val="16"/>
          <w:szCs w:val="16"/>
          <w:color w:val="auto"/>
        </w:rPr>
        <w:t>Our Huron Financial segment provides financial advisory, restructuring and turnaround, interim management, valuation, forensic and litigation, and operational improvement consulting services to companies in transition, boards of directors, and investors and lenders. Our consultants provide senior level involvement and extensive industry experience to drive results. Our experienced leadership, management depth and flexible staffing model allow us to efficiently lead projects ranging from middle market to large company assignments. We draw on career experience gathered from operations, lending, investment banking, portfolio and asset management, public accounting, and management consulting to provide practical business solutions.</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All Other</w:t>
      </w:r>
    </w:p>
    <w:p>
      <w:pPr>
        <w:spacing w:after="0" w:line="96" w:lineRule="exact"/>
        <w:rPr>
          <w:sz w:val="20"/>
          <w:szCs w:val="20"/>
          <w:color w:val="auto"/>
        </w:rPr>
      </w:pPr>
    </w:p>
    <w:p>
      <w:pPr>
        <w:ind w:left="700" w:right="20"/>
        <w:spacing w:after="0" w:line="268" w:lineRule="auto"/>
        <w:rPr>
          <w:sz w:val="20"/>
          <w:szCs w:val="20"/>
          <w:color w:val="auto"/>
        </w:rPr>
      </w:pPr>
      <w:r>
        <w:rPr>
          <w:rFonts w:ascii="Arial" w:cs="Arial" w:eastAsia="Arial" w:hAnsi="Arial"/>
          <w:sz w:val="18"/>
          <w:szCs w:val="18"/>
          <w:color w:val="auto"/>
        </w:rPr>
        <w:t>Our All Other segment consists of any lines of business not managed by our other four operating segments. In 2013 and 2012, the All Other segment consisted of our foreign healthcare and strategic consulting operations based in the Middle East.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Segment operating income consists of the revenues generated by a segment, less the direct costs of revenue and selling, general and administrative costs that are incurred directly by the segment. Unallocated corporate costs include costs related to administrative functions that are performed in a centralized manner that are not attributable to a particular segment. These administrative function costs include costs for corporate office support, certain office facility costs, costs relating to accounting and finance, human resources, legal, marketing, information technology and Company-wide business development functions, as well as costs related to overall corporate management.</w:t>
      </w:r>
    </w:p>
    <w:p>
      <w:pPr>
        <w:spacing w:after="0" w:line="1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table below sets forth information about our operating segments for the three and six months ended June 30, 2013 and 2012, along with the items necessary to reconcile the segment information to the totals reported in the accompanying Consolidated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5"/>
          </w:tcPr>
          <w:p>
            <w:pPr>
              <w:jc w:val="right"/>
              <w:ind w:right="192"/>
              <w:spacing w:after="0"/>
              <w:rPr>
                <w:sz w:val="20"/>
                <w:szCs w:val="20"/>
                <w:color w:val="auto"/>
              </w:rPr>
            </w:pPr>
            <w:r>
              <w:rPr>
                <w:rFonts w:ascii="Arial" w:cs="Arial" w:eastAsia="Arial" w:hAnsi="Arial"/>
                <w:sz w:val="18"/>
                <w:szCs w:val="18"/>
                <w:b w:val="1"/>
                <w:bCs w:val="1"/>
                <w:color w:val="auto"/>
                <w:w w:val="95"/>
              </w:rPr>
              <w:t>Three Months Ended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97"/>
              </w:rPr>
              <w:t>Six Months Ended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83"/>
              </w:rPr>
              <w:t>June 30,</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5"/>
          </w:tcPr>
          <w:p>
            <w:pPr>
              <w:ind w:left="52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482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2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2012</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Huron Healthcare:</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78,946</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w w:val="98"/>
              </w:rPr>
              <w:t>62,707</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157,691</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w w:val="89"/>
              </w:rPr>
              <w:t>126,172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29,507</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8"/>
              </w:rPr>
              <w:t>20,072</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60,668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35,910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Segment operating income as a percentage of segment revenues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Huron Legal:</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45,089</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w w:val="98"/>
              </w:rPr>
              <w:t>45,907</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86,033</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87,290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10,793</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8"/>
              </w:rPr>
              <w:t>12,499</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Segment operating income as a percentage of segment revenues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27.2%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Huron Education and Life Sciences: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37,134</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w w:val="98"/>
              </w:rPr>
              <w:t>31,834</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72,860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59,510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11,547</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9,187</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15,645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Segment operating income as a percentage of segment revenues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28.9%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Huron Financial:</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9,263</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4,283</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17,845</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10,132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(337)</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Segment operating income (loss) as a percentage of segment revenues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All Other:</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(60)</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(744)</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(1,543)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Segment operating loss as a percentage of segment revenues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N/M</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Company:</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170,407</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w w:val="82"/>
              </w:rPr>
              <w:t>144,671</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2"/>
              </w:rPr>
              <w:t>334,443</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2"/>
              <w:spacing w:after="0"/>
              <w:rPr>
                <w:sz w:val="20"/>
                <w:szCs w:val="20"/>
                <w:color w:val="auto"/>
              </w:rPr>
            </w:pPr>
            <w:r>
              <w:rPr>
                <w:rFonts w:ascii="Arial" w:cs="Arial" w:eastAsia="Arial" w:hAnsi="Arial"/>
                <w:sz w:val="18"/>
                <w:szCs w:val="18"/>
                <w:color w:val="auto"/>
                <w:w w:val="95"/>
              </w:rPr>
              <w:t>283,308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10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18,123</w:t>
            </w:r>
          </w:p>
        </w:tc>
        <w:tc>
          <w:tcPr>
            <w:tcW w:w="26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8"/>
              </w:rPr>
              <w:t>14,554</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33,459</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28,350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80" w:type="dxa"/>
            <w:vAlign w:val="bottom"/>
            <w:gridSpan w:val="3"/>
          </w:tcPr>
          <w:p>
            <w:pPr>
              <w:spacing w:after="0"/>
              <w:rPr>
                <w:sz w:val="20"/>
                <w:szCs w:val="20"/>
                <w:color w:val="auto"/>
              </w:rPr>
            </w:pPr>
            <w:r>
              <w:rPr>
                <w:rFonts w:ascii="Arial" w:cs="Arial" w:eastAsia="Arial" w:hAnsi="Arial"/>
                <w:sz w:val="18"/>
                <w:szCs w:val="18"/>
                <w:color w:val="auto"/>
              </w:rPr>
              <w:t>Total revenues and reimbursable expenses</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188,530</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w w:val="82"/>
              </w:rPr>
              <w:t>159,225</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2"/>
              </w:rPr>
              <w:t>367,902</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2"/>
              <w:spacing w:after="0"/>
              <w:rPr>
                <w:sz w:val="20"/>
                <w:szCs w:val="20"/>
                <w:color w:val="auto"/>
              </w:rPr>
            </w:pPr>
            <w:r>
              <w:rPr>
                <w:rFonts w:ascii="Arial" w:cs="Arial" w:eastAsia="Arial" w:hAnsi="Arial"/>
                <w:sz w:val="18"/>
                <w:szCs w:val="18"/>
                <w:color w:val="auto"/>
                <w:w w:val="95"/>
              </w:rPr>
              <w:t>311,658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Statements of Earnings reconciliation:</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Segment operating income</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55,555</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w w:val="98"/>
              </w:rPr>
              <w:t>40,677</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102,213</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71,918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Charges not allocated at the segment level:</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ind w:left="420"/>
              <w:spacing w:after="0"/>
              <w:rPr>
                <w:sz w:val="20"/>
                <w:szCs w:val="20"/>
                <w:color w:val="auto"/>
              </w:rPr>
            </w:pPr>
            <w:r>
              <w:rPr>
                <w:rFonts w:ascii="Arial" w:cs="Arial" w:eastAsia="Arial" w:hAnsi="Arial"/>
                <w:sz w:val="18"/>
                <w:szCs w:val="18"/>
                <w:color w:val="auto"/>
              </w:rPr>
              <w:t>Other selling, general and administrative expenses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20,129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w w:val="98"/>
              </w:rPr>
              <w:t>21,923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40,665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44,874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 expense</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4,053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8,706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gridSpan w:val="2"/>
          </w:tcPr>
          <w:p>
            <w:pPr>
              <w:ind w:left="420"/>
              <w:spacing w:after="0"/>
              <w:rPr>
                <w:sz w:val="20"/>
                <w:szCs w:val="20"/>
                <w:color w:val="auto"/>
              </w:rPr>
            </w:pPr>
            <w:r>
              <w:rPr>
                <w:rFonts w:ascii="Arial" w:cs="Arial" w:eastAsia="Arial" w:hAnsi="Arial"/>
                <w:sz w:val="18"/>
                <w:szCs w:val="18"/>
                <w:color w:val="auto"/>
              </w:rPr>
              <w:t>Other expense, net</w:t>
            </w:r>
          </w:p>
        </w:tc>
        <w:tc>
          <w:tcPr>
            <w:tcW w:w="10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w:t>
            </w:r>
          </w:p>
        </w:tc>
        <w:tc>
          <w:tcPr>
            <w:tcW w:w="2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2,178</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3,708</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3,711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 expense</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28,691</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8"/>
              </w:rPr>
              <w:t>12,523</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48,184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14,627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8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120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rPr>
              <w:t>June 30,</w:t>
            </w:r>
          </w:p>
        </w:tc>
        <w:tc>
          <w:tcPr>
            <w:tcW w:w="700" w:type="dxa"/>
            <w:vAlign w:val="bottom"/>
          </w:tcPr>
          <w:p>
            <w:pPr>
              <w:spacing w:after="0"/>
              <w:rPr>
                <w:sz w:val="18"/>
                <w:szCs w:val="18"/>
                <w:color w:val="auto"/>
              </w:rPr>
            </w:pPr>
          </w:p>
        </w:tc>
        <w:tc>
          <w:tcPr>
            <w:tcW w:w="128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28"/>
        </w:trPr>
        <w:tc>
          <w:tcPr>
            <w:tcW w:w="82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Segment Assets:</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w w:val="99"/>
              </w:rPr>
              <w:t>2013</w:t>
            </w:r>
          </w:p>
        </w:tc>
        <w:tc>
          <w:tcPr>
            <w:tcW w:w="7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w w:val="94"/>
              </w:rPr>
              <w:t>2012</w:t>
            </w:r>
          </w:p>
        </w:tc>
        <w:tc>
          <w:tcPr>
            <w:tcW w:w="100" w:type="dxa"/>
            <w:vAlign w:val="bottom"/>
            <w:tcBorders>
              <w:bottom w:val="single" w:sz="8" w:color="CCEEFF"/>
            </w:tcBorders>
          </w:tcPr>
          <w:p>
            <w:pPr>
              <w:spacing w:after="0"/>
              <w:rPr>
                <w:sz w:val="19"/>
                <w:szCs w:val="19"/>
                <w:color w:val="auto"/>
              </w:rPr>
            </w:pPr>
          </w:p>
        </w:tc>
      </w:tr>
      <w:tr>
        <w:trPr>
          <w:trHeight w:val="212"/>
        </w:trPr>
        <w:tc>
          <w:tcPr>
            <w:tcW w:w="824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auto"/>
              </w:rPr>
              <w:t>Huron Healthcare</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81,327</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60,288</w:t>
            </w:r>
          </w:p>
        </w:tc>
        <w:tc>
          <w:tcPr>
            <w:tcW w:w="100" w:type="dxa"/>
            <w:vAlign w:val="bottom"/>
            <w:shd w:val="clear" w:color="auto" w:fill="CCEEFF"/>
          </w:tcPr>
          <w:p>
            <w:pPr>
              <w:spacing w:after="0"/>
              <w:rPr>
                <w:sz w:val="18"/>
                <w:szCs w:val="18"/>
                <w:color w:val="auto"/>
              </w:rPr>
            </w:pP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Huron Legal</w:t>
            </w:r>
          </w:p>
        </w:tc>
        <w:tc>
          <w:tcPr>
            <w:tcW w:w="360" w:type="dxa"/>
            <w:vAlign w:val="bottom"/>
          </w:tcPr>
          <w:p>
            <w:pPr>
              <w:spacing w:after="0"/>
              <w:rPr>
                <w:sz w:val="18"/>
                <w:szCs w:val="18"/>
                <w:color w:val="auto"/>
              </w:rPr>
            </w:pP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46,228</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51,594</w:t>
            </w:r>
          </w:p>
        </w:tc>
        <w:tc>
          <w:tcPr>
            <w:tcW w:w="100" w:type="dxa"/>
            <w:vAlign w:val="bottom"/>
          </w:tcPr>
          <w:p>
            <w:pPr>
              <w:spacing w:after="0"/>
              <w:rPr>
                <w:sz w:val="18"/>
                <w:szCs w:val="18"/>
                <w:color w:val="auto"/>
              </w:rPr>
            </w:pPr>
          </w:p>
        </w:tc>
      </w:tr>
      <w:tr>
        <w:trPr>
          <w:trHeight w:val="216"/>
        </w:trPr>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Huron Education and Life Sciences</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31,919</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31,129</w:t>
            </w:r>
          </w:p>
        </w:tc>
        <w:tc>
          <w:tcPr>
            <w:tcW w:w="100" w:type="dxa"/>
            <w:vAlign w:val="bottom"/>
            <w:shd w:val="clear" w:color="auto" w:fill="CCEEFF"/>
          </w:tcPr>
          <w:p>
            <w:pPr>
              <w:spacing w:after="0"/>
              <w:rPr>
                <w:sz w:val="18"/>
                <w:szCs w:val="18"/>
                <w:color w:val="auto"/>
              </w:rPr>
            </w:pP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Huron Financial</w:t>
            </w:r>
          </w:p>
        </w:tc>
        <w:tc>
          <w:tcPr>
            <w:tcW w:w="360" w:type="dxa"/>
            <w:vAlign w:val="bottom"/>
          </w:tcPr>
          <w:p>
            <w:pPr>
              <w:spacing w:after="0"/>
              <w:rPr>
                <w:sz w:val="18"/>
                <w:szCs w:val="18"/>
                <w:color w:val="auto"/>
              </w:rPr>
            </w:pP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8,951</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1,462</w:t>
            </w:r>
          </w:p>
        </w:tc>
        <w:tc>
          <w:tcPr>
            <w:tcW w:w="100" w:type="dxa"/>
            <w:vAlign w:val="bottom"/>
          </w:tcPr>
          <w:p>
            <w:pPr>
              <w:spacing w:after="0"/>
              <w:rPr>
                <w:sz w:val="18"/>
                <w:szCs w:val="18"/>
                <w:color w:val="auto"/>
              </w:rPr>
            </w:pPr>
          </w:p>
        </w:tc>
      </w:tr>
      <w:tr>
        <w:trPr>
          <w:trHeight w:val="216"/>
        </w:trPr>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31</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r>
      <w:tr>
        <w:trPr>
          <w:trHeight w:val="223"/>
        </w:trPr>
        <w:tc>
          <w:tcPr>
            <w:tcW w:w="8240" w:type="dxa"/>
            <w:vAlign w:val="bottom"/>
            <w:gridSpan w:val="2"/>
          </w:tcPr>
          <w:p>
            <w:pPr>
              <w:spacing w:after="0"/>
              <w:rPr>
                <w:sz w:val="20"/>
                <w:szCs w:val="20"/>
                <w:color w:val="auto"/>
              </w:rPr>
            </w:pPr>
            <w:r>
              <w:rPr>
                <w:rFonts w:ascii="Arial" w:cs="Arial" w:eastAsia="Arial" w:hAnsi="Arial"/>
                <w:sz w:val="18"/>
                <w:szCs w:val="18"/>
                <w:color w:val="auto"/>
              </w:rPr>
              <w:t xml:space="preserve">Unallocated assets </w:t>
            </w:r>
            <w:r>
              <w:rPr>
                <w:rFonts w:ascii="Arial" w:cs="Arial" w:eastAsia="Arial" w:hAnsi="Arial"/>
                <w:sz w:val="11"/>
                <w:szCs w:val="11"/>
                <w:color w:val="auto"/>
              </w:rPr>
              <w:t>(1)</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8"/>
              </w:rPr>
              <w:t>621,870</w:t>
            </w:r>
          </w:p>
        </w:tc>
        <w:tc>
          <w:tcPr>
            <w:tcW w:w="7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5"/>
              </w:rPr>
              <w:t>643,377</w:t>
            </w:r>
          </w:p>
        </w:tc>
        <w:tc>
          <w:tcPr>
            <w:tcW w:w="100" w:type="dxa"/>
            <w:vAlign w:val="bottom"/>
          </w:tcPr>
          <w:p>
            <w:pPr>
              <w:spacing w:after="0"/>
              <w:rPr>
                <w:sz w:val="19"/>
                <w:szCs w:val="19"/>
                <w:color w:val="auto"/>
              </w:rPr>
            </w:pPr>
          </w:p>
        </w:tc>
      </w:tr>
      <w:tr>
        <w:trPr>
          <w:trHeight w:val="216"/>
        </w:trPr>
        <w:tc>
          <w:tcPr>
            <w:tcW w:w="82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Total assets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8"/>
              </w:rPr>
              <w:t>790,326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5"/>
              </w:rPr>
              <w:t>787,900</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1160" w:type="dxa"/>
            <w:vAlign w:val="bottom"/>
            <w:tcBorders>
              <w:bottom w:val="single" w:sz="8" w:color="auto"/>
            </w:tcBorders>
          </w:tcPr>
          <w:p>
            <w:pPr>
              <w:spacing w:after="0"/>
              <w:rPr>
                <w:sz w:val="15"/>
                <w:szCs w:val="15"/>
                <w:color w:val="auto"/>
              </w:rPr>
            </w:pPr>
          </w:p>
        </w:tc>
        <w:tc>
          <w:tcPr>
            <w:tcW w:w="7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100" w:lineRule="exact"/>
        <w:rPr>
          <w:sz w:val="20"/>
          <w:szCs w:val="20"/>
          <w:color w:val="auto"/>
        </w:rPr>
      </w:pPr>
    </w:p>
    <w:p>
      <w:pPr>
        <w:ind w:left="46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Goodwill and intangible assets are included in unallocated assets, as management does not evaluate these items at the segment level when assessing segment performance or allocating resources.</w:t>
      </w:r>
    </w:p>
    <w:p>
      <w:pPr>
        <w:spacing w:after="0" w:line="132"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At both June 30, 2013 and December 31, 2012, no single client accounted for greater than 10% of our combined receivables and unbilled services balances. No single client generated greater than 10% of our consolidated revenues during the three and six months ended June 30, 2013. One client in our Legal Consulting segment generated 11.8% and 10.6% of our consolidated revenues during the three and six months ended June 30, 2012, respectively.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this Quarterly Report on Form 10-Q, unless the context otherwise requires, the terms “Huron,” “Company,” “we,” “us” and “our” refer to Huron Consulting Group Inc. and its subsidiaries.</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Statements in this Quarterly Report on Form 10-Q that are not historical in nature, including those concerning the Company’s current expectations about its future requirements and needs, are “forward-looking” statements as defined in Section 21E of the Securities Exchange Act of 1934, as amended (the “Exchange Act”) and the Private Securities Litigation Reform Act of 1995. Forward-looking statements are identified by words such as “may,” “should,” “expects,” “provides,” “anticipates,” “assumes,” “can,” “will,” “meets,” “could,” “likely,” “intends,” “might,” “predicts,” “seeks,” “would,” “believes,” “estimates,” “plans” or “continues.” These forward-looking statements reflect our current expectations about our future requirements and needs, results, levels of activity, performance, or achievements, including, without limitation, current expectations with respect to, among other factors, utilization rates, billing rates, and the number of revenue-generating professionals; that we are able to expand our service offerings; that we successfully integrate the businesses we acquire; and that existing market conditions continue to trend upward. These statements involve known and unknown risks, uncertainties and other factors, including, among others, those described under “Item 1A. Risk Factors” in our Annual Report on Form 10-K for the year ended December 31, 2012 that may cause actual results, levels of activity, performance or achievements to be materially different from any anticipated results, levels of activity, performance or achievements expressed or implied by these forward-looking statements. We disclaim any obligation to update or revise any forward-looking statements as a result of new information or future events, or for any other reason.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9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Huron Consulting Group is a leading provider of operational and financial consulting services. We help clients in diverse industries improve performance, reduce costs, leverage technology, process and review large amounts of complex data, address regulatory changes, recover from distress and stimulate growth. Our professionals employ their expertise in administration, management, finance, operations, strategy and technology to provide our clients with specialized analyses and customized advice and solutions that are tailored to address each client’s particular challenges and opportunities to deliver sustainable and measurable results. We provide consulting services to a wide variety of both financially sound and distressed organizations, including healthcare organizations, leading academic institutions, Fortune 500 companies, governmental entities and law firms. We have worked with more than 95 of the top 100 research universities, more than 400 corporate general counsel, and more than 385 hospitals and academic medical centers.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We provide our services through five operating segments: Huron Healthcare, Huron Legal, Huron Education and Life Sciences, Huron Financial and All Other.</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Huron Healthcare</w:t>
      </w:r>
    </w:p>
    <w:p>
      <w:pPr>
        <w:spacing w:after="0" w:line="96" w:lineRule="exact"/>
        <w:rPr>
          <w:sz w:val="20"/>
          <w:szCs w:val="20"/>
          <w:color w:val="auto"/>
        </w:rPr>
      </w:pPr>
    </w:p>
    <w:p>
      <w:pPr>
        <w:jc w:val="both"/>
        <w:ind w:left="700"/>
        <w:spacing w:after="0" w:line="256" w:lineRule="auto"/>
        <w:rPr>
          <w:sz w:val="20"/>
          <w:szCs w:val="20"/>
          <w:color w:val="auto"/>
        </w:rPr>
      </w:pPr>
      <w:r>
        <w:rPr>
          <w:rFonts w:ascii="Arial" w:cs="Arial" w:eastAsia="Arial" w:hAnsi="Arial"/>
          <w:sz w:val="18"/>
          <w:szCs w:val="18"/>
          <w:color w:val="auto"/>
        </w:rPr>
        <w:t>Our Huron Healthcare segment provides consulting services to national and regional integrated health systems, physician practices, community hospitals, managed care organizations, and academic medical centers. This segment provides consulting services related to hospital or healthcare organization performance improvement, revenue cycle improvement, clinical quality and care variation, labor productivity, non-labor cost management, information technology, patient flow improvement and physician practice management.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Huron Legal</w:t>
      </w:r>
    </w:p>
    <w:p>
      <w:pPr>
        <w:spacing w:after="0" w:line="96" w:lineRule="exact"/>
        <w:rPr>
          <w:sz w:val="20"/>
          <w:szCs w:val="20"/>
          <w:color w:val="auto"/>
        </w:rPr>
      </w:pPr>
    </w:p>
    <w:p>
      <w:pPr>
        <w:jc w:val="both"/>
        <w:ind w:left="700"/>
        <w:spacing w:after="0" w:line="255" w:lineRule="auto"/>
        <w:rPr>
          <w:sz w:val="20"/>
          <w:szCs w:val="20"/>
          <w:color w:val="auto"/>
        </w:rPr>
      </w:pPr>
      <w:r>
        <w:rPr>
          <w:rFonts w:ascii="Arial" w:cs="Arial" w:eastAsia="Arial" w:hAnsi="Arial"/>
          <w:sz w:val="18"/>
          <w:szCs w:val="18"/>
          <w:color w:val="auto"/>
        </w:rPr>
        <w:t>Our Huron Legal segment provides advisory and business services to assist law departments of major global corporations and law firms with their strategy, organizational design and development, operational efficiency, and cost effectiveness. These results-driven services help reduce the amounts they spend on legal services and enhance client service. Our expertise focuses on strategic and management consulting, cost management, and technology and information management including matter management, records management, digital evidence, document review and discovery services.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Huron Education and Life Sciences</w:t>
      </w:r>
    </w:p>
    <w:p>
      <w:pPr>
        <w:spacing w:after="0" w:line="96" w:lineRule="exact"/>
        <w:rPr>
          <w:sz w:val="20"/>
          <w:szCs w:val="20"/>
          <w:color w:val="auto"/>
        </w:rPr>
      </w:pPr>
    </w:p>
    <w:p>
      <w:pPr>
        <w:jc w:val="both"/>
        <w:ind w:left="700"/>
        <w:spacing w:after="0" w:line="298" w:lineRule="auto"/>
        <w:rPr>
          <w:sz w:val="20"/>
          <w:szCs w:val="20"/>
          <w:color w:val="auto"/>
        </w:rPr>
      </w:pPr>
      <w:r>
        <w:rPr>
          <w:rFonts w:ascii="Arial" w:cs="Arial" w:eastAsia="Arial" w:hAnsi="Arial"/>
          <w:sz w:val="16"/>
          <w:szCs w:val="16"/>
          <w:color w:val="auto"/>
        </w:rPr>
        <w:t>Our Huron Education and Life Sciences segment provides consulting services to universities, research institutions, healthcare organizations, academic medical centers, and pharmaceutical, medical device manufacturer and biotechnology companies. We develop and implement performance improvement, technology, and research enterprise solutions to help clients address challenges relating to financial management, strategy, operational and organizational effectiveness, research administration, and regulatory compliance.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Huron Financial</w:t>
      </w:r>
    </w:p>
    <w:p>
      <w:pPr>
        <w:spacing w:after="0" w:line="96" w:lineRule="exact"/>
        <w:rPr>
          <w:sz w:val="20"/>
          <w:szCs w:val="20"/>
          <w:color w:val="auto"/>
        </w:rPr>
      </w:pPr>
    </w:p>
    <w:p>
      <w:pPr>
        <w:jc w:val="both"/>
        <w:ind w:left="700"/>
        <w:spacing w:after="0" w:line="294" w:lineRule="auto"/>
        <w:rPr>
          <w:sz w:val="20"/>
          <w:szCs w:val="20"/>
          <w:color w:val="auto"/>
        </w:rPr>
      </w:pPr>
      <w:r>
        <w:rPr>
          <w:rFonts w:ascii="Arial" w:cs="Arial" w:eastAsia="Arial" w:hAnsi="Arial"/>
          <w:sz w:val="16"/>
          <w:szCs w:val="16"/>
          <w:color w:val="auto"/>
        </w:rPr>
        <w:t>Our Huron Financial segment provides financial advisory, restructuring and turnaround, interim management, valuation, forensic and litigation, and operational improvement consulting services to companies in transition, boards of directors, and investors and lenders. Our consultants provide senior level involvement and extensive industry experience to drive results. Our experienced leadership, management depth and flexible staffing model allow us to efficiently lead projects ranging from middle market to large company assignments. We draw on career experience gathered from operations, lending, investment banking, portfolio and asset management, public accounting, and management consulting to provide practical business solutions.</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All Other</w:t>
      </w:r>
    </w:p>
    <w:p>
      <w:pPr>
        <w:spacing w:after="0" w:line="96" w:lineRule="exact"/>
        <w:rPr>
          <w:sz w:val="20"/>
          <w:szCs w:val="20"/>
          <w:color w:val="auto"/>
        </w:rPr>
      </w:pPr>
    </w:p>
    <w:p>
      <w:pPr>
        <w:ind w:left="700" w:right="20"/>
        <w:spacing w:after="0" w:line="268" w:lineRule="auto"/>
        <w:rPr>
          <w:sz w:val="20"/>
          <w:szCs w:val="20"/>
          <w:color w:val="auto"/>
        </w:rPr>
      </w:pPr>
      <w:r>
        <w:rPr>
          <w:rFonts w:ascii="Arial" w:cs="Arial" w:eastAsia="Arial" w:hAnsi="Arial"/>
          <w:sz w:val="18"/>
          <w:szCs w:val="18"/>
          <w:color w:val="auto"/>
        </w:rPr>
        <w:t>Our All Other segment consists of any lines of business not managed by our other four operating segments. In 2013 and 2012, the All Other segment consisted of our foreign healthcare and strategic consulting operations based in the Middle East.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Revenues</w:t>
      </w:r>
    </w:p>
    <w:p>
      <w:pPr>
        <w:spacing w:after="0" w:line="9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 large portion of our revenues is generated by our full-time consultants who provide consulting services to our clients and are billable to our clients based on the number of hours worked. A smaller portion of our revenues is generated by our other professionals, also referred to as full-time equivalents, all of whom work variable schedules as needed by our clients. Other professionals include specialized finance and operational consultants and our document review and electronic data discovery groups, as well as full-time employees who provide software support and maintenance services to our clients. Our document review and electronic data discovery groups generate revenues primarily based on number of hours worked and units produced, such as pages reviewed or amount of data processed. We translate the hours that these other professionals work on client engagements into a full-time equivalent measure that we use to manage our business. We refer to our full-time consultants and other professionals collectively as revenue-generating professionals.</w:t>
      </w:r>
    </w:p>
    <w:p>
      <w:pPr>
        <w:spacing w:after="0" w:line="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Revenues generated by our full-time consultants are primarily driven by the number of consultants we employ and their utilization rates, as well as the billing rates we charge our clients. Revenues generated by our other professionals, or full-time equivalents, are largely dependent on the number of consultants we employ, their hours worked and billing rates charged, as well as the number of pages reviewed and amount of data processed in the case of our document review and electronic data discovery groups, respectively.</w:t>
      </w:r>
    </w:p>
    <w:p>
      <w:pPr>
        <w:spacing w:after="0" w:line="1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generate the majority of our revenues from providing professional services under four types of billing arrangements: time-and-expense, fixed-fee (including software license revenue), performance-based and support and maintenance for the software we deploy.</w:t>
      </w:r>
    </w:p>
    <w:p>
      <w:pPr>
        <w:spacing w:after="0" w:line="105"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Time-and-expense billing arrangements require the client to pay based on either the number of hours worked, the number of pages reviewed, or the amount of data processed by our revenue-generating professionals at agreed upon rates. We recognize revenues under time-and-expense billing arrangements as the related services are rendered. Time-and-expense engagements represented 48.6% and 49.6% of our revenues in the three months ended June 30, 2013 and 2012, respectively. Time-and-expense engagements represented 46.7% and 48.2% of our revenues in the six months ended June 30, 2013 and 2012, respectively.</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fixed-fee billing arrangements, we agree to a pre-established fee in exchange for a pre-determined set of professional services, which may include the deployment of our proprietary software. We set the fees based on our estimates of the costs and timing for completing the engagements. It is the client’s expectation in these engagements that the pre-established fee will not be exceeded except in mutually agreed upon circumstances. We generally recognize revenues under fixed-fee billing arrangements using a proportionate performance approach, which is based on our estimates of work completed to-date versus the total services to be provided under the engagement.</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generate revenues from licensing two types of proprietary software to clients. Licenses for our revenue cycle management software are sold only as a component of our consulting projects and the services we provide are essential to the functionality of the software. Therefore, revenues from the revenue cycle management software licenses are recognized over the term of the related consulting services contract in accordance with Financial Accounting Standards Board (“FASB”) Accounting Standards Codification (“ASC”) Topic 605-35, “Revenue Recognition.” License revenue from our research administration and compliance software is recognized in accordance with FASB ASC Topic 985-605, “Software – Revenue Recognition,” generally in the month in which the software is delivered.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June 30, 2013 and 2012, fixed-fee engagements (including software license revenue) represented approximately 37.6% and 37.0%, respectively, of our revenues. For the six months ended June 30, 2013 and 2012, fixed-fee engagements represented approximately 38.9% and 37.7%, respectively, of our revenues.</w:t>
      </w:r>
    </w:p>
    <w:p>
      <w:pPr>
        <w:spacing w:after="0" w:line="14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performance-based fee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have performance-based engagements in which we earn a success fee when and if certain pre-defined outcomes occur. Often, performance-based fees supplement our time-and-expense or fixed-fee engagements. We do not recognize revenues under performance-based billing arrangements until all related performance criteria are met. Performance-based fee revenues represented 10.6% and 9.6% of our revenues in the three months ended June 30, 2013 and 2012, respectively. Performance-based fee revenues represented 11.1% and 10.4% of our revenues in the six months ended June 30, 2013 and 2012, respectively. Performance-based fee engagements may cause significant variations in quarterly revenues and operating results depending on the timing of achievement of the performance-based criteria.</w:t>
      </w:r>
    </w:p>
    <w:p>
      <w:pPr>
        <w:spacing w:after="0" w:line="9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Clients that have purchased one of our software licenses can pay an annual fee for software support and maintenance. Annual support and maintenance fee revenue is recognized ratably over the support period, which is generally one year. These fees are billed in advance and included in deferred revenues until recognized. Support and maintenance revenues represented 3.2% and 3.8% of our revenues in the three months ended June 30, 2013 and 2012, respectively. Support and maintenance revenues represented 3.3% and 3.7% of our revenues in the six months ended June 30, 2013 and 2012, respectively.</w:t>
      </w:r>
    </w:p>
    <w:p>
      <w:pPr>
        <w:spacing w:after="0" w:line="14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quarterly results are impacted principally by our full-time consultants’ utilization rate, the billing rate we charge our clients, the number of our revenue-generating professionals who are available to work and the amount of performance-based fees recognized, which often vary significantly between quarters. Our utilization rate can be negatively affected by increased hiring because there is generally a transition period for new professionals that results in a temporary drop in our utilization rate. Our utilization rate can also be affected by seasonal variations in the demand for our services from our clients. For example, during the third and fourth quarters of the year, vacations taken by our clients can result in the deferral of activity on existing and new engagements, which would negatively affect our utilization rate. The number of business work days is also affected by the number of vacation days taken by our consultants and holidays in each quarter. We typically have fewer business work days available in the fourth quarter of the year, which can impact revenues during that period.</w:t>
      </w:r>
    </w:p>
    <w:p>
      <w:pPr>
        <w:spacing w:after="0" w:line="1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Time-and-expense engagements do not provide us with a high degree of predictability as to performance in future periods. Unexpected changes in the demand for our services can result in significant variations in utilization and revenues and present a challenge to optimal hiring and staffing. Moreover, our clients typically retain us on an engagement-by-engagement basis, rather than under long-term recurring contracts. The volume of work performed for any particular client can vary widely from period to period.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 Opportunities and Challenges</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primary strategy is to meet the needs of our clients by providing a balanced portfolio of service offerings and capabilities, so that we can adapt quickly and effectively to emerging opportunities in the marketplace. To achieve this, we have entered into select acquisitions of complementary businesses and continue to hire highly qualified professionals.</w:t>
      </w:r>
    </w:p>
    <w:p>
      <w:pPr>
        <w:spacing w:after="0" w:line="11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To expand our business, we will remain focused on growing our existing relationships and developing new relationships, execute our managing director compensation plan to attract and retain senior practitioners, continue to promote and provide an integrated approach to service delivery, broaden the scope of our existing services, and acquire complementary businesses. We will regularly evaluate the performance of our practices to ensure our investments meet these objectives. Furthermore, we intend to enhance our visibility in the marketplace by refining our overarching messaging and value propositions for the organization as well as each practice. We will continue to focus on reaching our client base through clear, concise, endorsed messages.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Management’s discussion and analysis of financial condition and results of operations are based upon our consolidated financial statements, which have been prepared in accordance with GAAP. We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amounts of assets and liabilities and disclosure of contingent assets and liabilities as of the date of the financial statements, as well as the reported amounts of revenues and expenses during the reporting period. Critical accounting policies are those policies that we believe present the most complex or subjective measurements and have the most potential to impact our financial position and operating results. While all decisions regarding accounting policies are important, we believe that there are four accounting policies that could be considered critical. These critical accounting policies relate to revenue recognition, allowances for doubtful accounts and unbilled services, carrying values of goodwill and other intangible assets, and valuation of net deferred tax assets. For a detailed discussion of these critical accounting policies, see “Item 7. Management’s Discussion and Analysis of Financial Condition and Results of Operations – Critical Accounting Policies” in our Annual Report on Form 10-K for the year ended December 31, 2012. Below is an update to our critical accounting policy relating to the carrying values of goodwill and other intangible assets. There have been no material changes to our other critical accounting policies during the first six months of 2013.</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Carrying Values of Goodwill and Other Intangible Assets</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first quarter of 2013, we changed our internal financial reporting structure. Under the new structure, our former Health and Education Consulting segment became two separate segments: Huron Healthcare and Huron Education and Life Sciences. In addition, certain immaterial practices which were historically part of our Health and Education Consulting segment were combined and disclosed in our All Other segment. The Legal Consulting segment is now referred to as Huron Legal and the Financial Consulting segment is now referred to as Huron Financial. The structure of the Legal Consulting and Financial Consulting segments did not change. As a result of these changes, we now have five reporting segments, which are the same as our operating segments and reporting units.</w:t>
      </w:r>
    </w:p>
    <w:p>
      <w:pPr>
        <w:spacing w:after="0" w:line="14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accordance with ASC 350, “Intangibles – Goodwill and Other,” we reassigned the goodwill balance of the Health and Education Consulting segment using the relative fair value approach based on an evaluation of expected future discounted cash flows. Based on this relative fair value analysis, we reassigned $355.9 million of goodwill to Huron Healthcare and $94.6 million of goodwill to Huron Education and Life Sciences.</w:t>
      </w:r>
    </w:p>
    <w:p>
      <w:pPr>
        <w:spacing w:after="0" w:line="10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conjunction with the goodwill reassignment, we performed the first step of the goodwill impairment test for the goodwill balances within our Huron Healthcare and Huron Education and Life Sciences reporting units as of January 2, 2013. Based on the result of the first step of the goodwill impairment test, we determined that the fair values of our Huron Healthcare and Huron Education and Life Sciences reporting units exceeded their carrying values. Since the fair values of both reporting units exceeded their carrying values, the second step of the goodwill impairment test was not necessary.</w:t>
      </w:r>
    </w:p>
    <w:p>
      <w:pPr>
        <w:spacing w:after="0" w:line="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estimating the fair value of our Huron Healthcare and Huron Education and Life Sciences reporting units, we relied on a combination of the income approach and the market approach, utilizing the guideline company method, with a fifty-fifty weighting. For companies providing services similar to those provided by us, the income and market approaches will generally provide the most reliable indications of value because the value of such companies is dependent on their ability to generate earnings.</w:t>
      </w:r>
    </w:p>
    <w:p>
      <w:pPr>
        <w:spacing w:after="0" w:line="1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income approach, we utilized a discounted cash flow analysis, which involved estimating the expected after-tax cash flows that will be generated by our reporting units and then discounting those cash flows to present value reflecting the relevant risks associated with the reporting units and the time value of money. This approach requires the use of significant estimates and assumptions, including long-term projections of future cash flows, market conditions, discount rates reflecting the risk inherent in future cash flows, revenue growth, perpetual growth rates and profitability, among others. In estimating future cash flows, we relied on an internally generated six-year forecast. For periods after the six-year forecast, we assumed a 3.5% long-term annual revenue growth rate. Our forecast is based on our historical experience, current backlog, expected market demand, and other industry information. Our discounted cash flow analysis assumed a 13% weighted average cost of capital (“WACC”) discount rate for each reporting unit.</w:t>
      </w:r>
    </w:p>
    <w:p>
      <w:pPr>
        <w:spacing w:after="0" w:line="9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the market approach, we utilized the guideline company method, which involved calculating valuation multiples based on operating data from guideline publicly traded companies. Multiples derived from guideline companies provide 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indication of how much a knowledgeable investor in the marketplace would be willing to pay for a company. These multiples were then adjusted for factors similar to those used in a discounted cash flow analysis and applied to the operating data for our reporting units to arrive at an indication of value.</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Determining the fair value of a reporting unit requires us to make significant judgments, estimates and assumptions. While we believe that the estimates and assumptions underlying our valuation methodology are reasonable, these estimates and assumptions could have a significant impact on whether or not an impairment charge is recognized and also the magnitude of any such charge. The results of an impairment analysis are as of a point in time. There is no assurance that the actual future earnings or cash flows of our reporting units will not differ significantly from our projections. We will monitor any changes to our assumptions and will evaluate goodwill as deemed warranted during future periods. Any significant decline in our operations could result in goodwill impairment charges.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table sets forth, for the periods indicated, selected segment and consolidated operating results and other operating data. Segment operating income consists of the revenues generated by a segment, less the direct costs of revenue and selling, general and administrative costs that are incurred directly by the segment. Unallocated costs include corporate costs related to administrative functions that are performed in a centralized manner that are not attributable to a particular segment.</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the first quarter of 2013, we changed our internal financial reporting structure. Under the new structure, our former Health and Education Consulting segment became two separate segments: Huron Healthcare and Huron Education and Life Sciences. In addition, certain immaterial practices which were historically part of our Health and Education Consulting segment were combined and disclosed in our All Other segment. The Legal Consulting segment is now referred to as Huron Legal and the Financial Consulting segment is now referred to as Huron Financial. The structure of the Legal Consulting and Financial Consulting segments did not change. As a result of these changes, we now have five reporting segments, which are the same as our operating segments. Certain amounts reported in the prior year have been reclassified to conform to the current presentation.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4"/>
          </w:tcPr>
          <w:p>
            <w:pPr>
              <w:jc w:val="right"/>
              <w:ind w:right="152"/>
              <w:spacing w:after="0"/>
              <w:rPr>
                <w:sz w:val="20"/>
                <w:szCs w:val="20"/>
                <w:color w:val="auto"/>
              </w:rPr>
            </w:pPr>
            <w:r>
              <w:rPr>
                <w:rFonts w:ascii="Arial" w:cs="Arial" w:eastAsia="Arial" w:hAnsi="Arial"/>
                <w:sz w:val="18"/>
                <w:szCs w:val="18"/>
                <w:b w:val="1"/>
                <w:bCs w:val="1"/>
                <w:color w:val="auto"/>
                <w:w w:val="89"/>
              </w:rPr>
              <w:t>Three Months Ended</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5"/>
          </w:tcPr>
          <w:p>
            <w:pPr>
              <w:ind w:left="1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June 30,</w:t>
            </w:r>
          </w:p>
        </w:tc>
        <w:tc>
          <w:tcPr>
            <w:tcW w:w="7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June 30,</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Segment and Consolidated Operating Results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94"/>
              </w:rPr>
              <w:t>2012</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4"/>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340" w:type="dxa"/>
            <w:vAlign w:val="bottom"/>
            <w:gridSpan w:val="2"/>
            <w:vMerge w:val="continue"/>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Revenues and reimbursable expenses:</w:t>
            </w: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Huron Healthcare</w:t>
            </w:r>
          </w:p>
        </w:tc>
        <w:tc>
          <w:tcPr>
            <w:tcW w:w="18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78,946</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62,707</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2"/>
              <w:spacing w:after="0"/>
              <w:rPr>
                <w:sz w:val="20"/>
                <w:szCs w:val="20"/>
                <w:color w:val="auto"/>
              </w:rPr>
            </w:pPr>
            <w:r>
              <w:rPr>
                <w:rFonts w:ascii="Arial" w:cs="Arial" w:eastAsia="Arial" w:hAnsi="Arial"/>
                <w:sz w:val="18"/>
                <w:szCs w:val="18"/>
                <w:color w:val="auto"/>
                <w:w w:val="92"/>
              </w:rPr>
              <w:t>157,691</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126,172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Huron Legal</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45,089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45,907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86,033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Huron Education and Life Sciences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37,134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31,834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72,860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59,510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Huron Financial</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9,263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4,283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17,845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All Other</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5"/>
              </w:rPr>
              <w:t>170,407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9"/>
              </w:rPr>
              <w:t>144,671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2"/>
              </w:rPr>
              <w:t>334,443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283,308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Total reimbursable expenses</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18,123</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14,554</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33,459</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 and reimbursable expenses</w:t>
            </w:r>
          </w:p>
        </w:tc>
        <w:tc>
          <w:tcPr>
            <w:tcW w:w="1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5"/>
              </w:rPr>
              <w:t>188,530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9"/>
              </w:rPr>
              <w:t>159,225</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2"/>
              </w:rPr>
              <w:t>367,902</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311,658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income (loss):</w:t>
            </w: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40" w:type="dxa"/>
            <w:vAlign w:val="bottom"/>
            <w:gridSpan w:val="2"/>
            <w:vMerge w:val="continue"/>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Huron Healthcare</w:t>
            </w:r>
          </w:p>
        </w:tc>
        <w:tc>
          <w:tcPr>
            <w:tcW w:w="1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29,507</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20,072</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60,668</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Huron Legal</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10,793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12,499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13,731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Huron Education and Life Sciences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11,547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9,187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20,899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Huron Financial</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3,952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7,331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(416)</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Total segment operating income</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55,555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40,677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w w:val="92"/>
              </w:rPr>
              <w:t>102,213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71,918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 not allocated to segments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25,006</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25,976</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50,321</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Total operating income</w:t>
            </w:r>
          </w:p>
        </w:tc>
        <w:tc>
          <w:tcPr>
            <w:tcW w:w="18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30,549</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14,701</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51,892</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18,338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Other Operating Data (excluding All Other):</w:t>
            </w:r>
          </w:p>
        </w:tc>
        <w:tc>
          <w:tcPr>
            <w:tcW w:w="15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b w:val="1"/>
                <w:bCs w:val="1"/>
                <w:color w:val="auto"/>
              </w:rPr>
              <w:t xml:space="preserve">Number of full-time billable consultants (at period end) </w:t>
            </w:r>
            <w:r>
              <w:rPr>
                <w:rFonts w:ascii="Arial" w:cs="Arial" w:eastAsia="Arial" w:hAnsi="Arial"/>
                <w:sz w:val="11"/>
                <w:szCs w:val="11"/>
                <w:b w:val="1"/>
                <w:bCs w:val="1"/>
                <w:color w:val="auto"/>
              </w:rPr>
              <w:t>(1)</w:t>
            </w:r>
            <w:r>
              <w:rPr>
                <w:rFonts w:ascii="Arial" w:cs="Arial" w:eastAsia="Arial" w:hAnsi="Arial"/>
                <w:sz w:val="18"/>
                <w:szCs w:val="18"/>
                <w:b w:val="1"/>
                <w:bCs w:val="1"/>
                <w:color w:val="auto"/>
              </w:rPr>
              <w:t>:</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Huron Healthcare </w:t>
            </w:r>
            <w:r>
              <w:rPr>
                <w:rFonts w:ascii="Arial" w:cs="Arial" w:eastAsia="Arial" w:hAnsi="Arial"/>
                <w:sz w:val="11"/>
                <w:szCs w:val="11"/>
                <w:color w:val="auto"/>
              </w:rPr>
              <w:t>(5)</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916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813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Huron Legal</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145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129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Huron Education and Life Sciences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Huron Financial</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1"/>
                <w:szCs w:val="11"/>
                <w:color w:val="auto"/>
              </w:rPr>
              <w:t>(5)</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1,558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1,384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b w:val="1"/>
                <w:bCs w:val="1"/>
                <w:color w:val="auto"/>
                <w:w w:val="93"/>
              </w:rPr>
              <w:t xml:space="preserve">Average number of full-time billable consultants (for the period) </w:t>
            </w:r>
            <w:r>
              <w:rPr>
                <w:rFonts w:ascii="Arial" w:cs="Arial" w:eastAsia="Arial" w:hAnsi="Arial"/>
                <w:sz w:val="11"/>
                <w:szCs w:val="11"/>
                <w:b w:val="1"/>
                <w:bCs w:val="1"/>
                <w:color w:val="auto"/>
                <w:w w:val="93"/>
              </w:rPr>
              <w:t>(1)</w:t>
            </w:r>
            <w:r>
              <w:rPr>
                <w:rFonts w:ascii="Arial" w:cs="Arial" w:eastAsia="Arial" w:hAnsi="Arial"/>
                <w:sz w:val="18"/>
                <w:szCs w:val="18"/>
                <w:b w:val="1"/>
                <w:bCs w:val="1"/>
                <w:color w:val="auto"/>
                <w:w w:val="93"/>
              </w:rPr>
              <w:t>:</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Huron Healthcare </w:t>
            </w:r>
            <w:r>
              <w:rPr>
                <w:rFonts w:ascii="Arial" w:cs="Arial" w:eastAsia="Arial" w:hAnsi="Arial"/>
                <w:sz w:val="11"/>
                <w:szCs w:val="11"/>
                <w:color w:val="auto"/>
              </w:rPr>
              <w:t>(5)</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883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Huron Legal</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149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Huron Education and Life Sciences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Huron Financial</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1"/>
                <w:szCs w:val="11"/>
                <w:color w:val="auto"/>
              </w:rPr>
              <w:t>(5)</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1,532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1,349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b w:val="1"/>
                <w:bCs w:val="1"/>
                <w:color w:val="auto"/>
              </w:rPr>
              <w:t xml:space="preserve">Full-time billable consultant utilization rate </w:t>
            </w:r>
            <w:r>
              <w:rPr>
                <w:rFonts w:ascii="Arial" w:cs="Arial" w:eastAsia="Arial" w:hAnsi="Arial"/>
                <w:sz w:val="11"/>
                <w:szCs w:val="11"/>
                <w:b w:val="1"/>
                <w:bCs w:val="1"/>
                <w:color w:val="auto"/>
              </w:rPr>
              <w:t>(2)</w:t>
            </w:r>
            <w:r>
              <w:rPr>
                <w:rFonts w:ascii="Arial" w:cs="Arial" w:eastAsia="Arial" w:hAnsi="Arial"/>
                <w:sz w:val="18"/>
                <w:szCs w:val="18"/>
                <w:b w:val="1"/>
                <w:bCs w:val="1"/>
                <w:color w:val="auto"/>
              </w:rPr>
              <w:t>:</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Huron Healthcare </w:t>
            </w:r>
            <w:r>
              <w:rPr>
                <w:rFonts w:ascii="Arial" w:cs="Arial" w:eastAsia="Arial" w:hAnsi="Arial"/>
                <w:sz w:val="11"/>
                <w:szCs w:val="11"/>
                <w:color w:val="auto"/>
              </w:rPr>
              <w:t>(5)</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84.7%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78.3%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Huron Legal</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60.0%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68.7%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Huron Education and Life Sciences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73.2%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Huron Financial</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82.9%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49.3%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1"/>
                <w:szCs w:val="11"/>
                <w:color w:val="auto"/>
              </w:rPr>
              <w:t>(5)</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76.9%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74.6%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520" w:type="dxa"/>
            <w:vAlign w:val="bottom"/>
          </w:tcPr>
          <w:p>
            <w:pPr>
              <w:jc w:val="right"/>
              <w:ind w:right="97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4"/>
          </w:tcPr>
          <w:p>
            <w:pPr>
              <w:jc w:val="right"/>
              <w:ind w:right="112"/>
              <w:spacing w:after="0"/>
              <w:rPr>
                <w:sz w:val="20"/>
                <w:szCs w:val="20"/>
                <w:color w:val="auto"/>
              </w:rPr>
            </w:pPr>
            <w:r>
              <w:rPr>
                <w:rFonts w:ascii="Arial" w:cs="Arial" w:eastAsia="Arial" w:hAnsi="Arial"/>
                <w:sz w:val="18"/>
                <w:szCs w:val="18"/>
                <w:b w:val="1"/>
                <w:bCs w:val="1"/>
                <w:color w:val="auto"/>
                <w:w w:val="88"/>
              </w:rPr>
              <w:t>Three Months Ended</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5"/>
          </w:tcPr>
          <w:p>
            <w:pPr>
              <w:ind w:left="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9"/>
        </w:trPr>
        <w:tc>
          <w:tcPr>
            <w:tcW w:w="7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June 30,</w:t>
            </w:r>
          </w:p>
        </w:tc>
        <w:tc>
          <w:tcPr>
            <w:tcW w:w="6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Operating Data (continued):</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9"/>
              </w:rPr>
              <w:t>2013</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89"/>
              </w:rPr>
              <w:t>2012</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9"/>
              </w:rPr>
              <w:t>2013</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4"/>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3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 xml:space="preserve">Full-time billable consultant average billing rate per hour </w:t>
            </w:r>
            <w:r>
              <w:rPr>
                <w:rFonts w:ascii="Arial" w:cs="Arial" w:eastAsia="Arial" w:hAnsi="Arial"/>
                <w:sz w:val="11"/>
                <w:szCs w:val="11"/>
                <w:b w:val="1"/>
                <w:bCs w:val="1"/>
                <w:color w:val="auto"/>
              </w:rPr>
              <w:t>(3)</w:t>
            </w: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 xml:space="preserve">Huron Healthcare </w:t>
            </w:r>
            <w:r>
              <w:rPr>
                <w:rFonts w:ascii="Arial" w:cs="Arial" w:eastAsia="Arial" w:hAnsi="Arial"/>
                <w:sz w:val="11"/>
                <w:szCs w:val="11"/>
                <w:color w:val="auto"/>
              </w:rPr>
              <w:t>(5)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199</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198</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202</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Huron Legal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Huron Education and Life Sciences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223</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212</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215</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Huron Financial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ind w:left="22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1"/>
                <w:szCs w:val="11"/>
                <w:color w:val="auto"/>
              </w:rPr>
              <w:t>(5)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213</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208</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213</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 per full-time billable consultant (in thousands):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 xml:space="preserve">Huron Healthcare </w:t>
            </w:r>
            <w:r>
              <w:rPr>
                <w:rFonts w:ascii="Arial" w:cs="Arial" w:eastAsia="Arial" w:hAnsi="Arial"/>
                <w:sz w:val="11"/>
                <w:szCs w:val="11"/>
                <w:color w:val="auto"/>
              </w:rPr>
              <w:t>(5)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82</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70</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167</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Huron Legal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Huron Education and Life Sciences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70</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77</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140</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Huron Financial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ind w:left="22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1"/>
                <w:szCs w:val="11"/>
                <w:color w:val="auto"/>
              </w:rPr>
              <w:t>(5)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79</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72</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158</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Average number of full-time equivalents (for the period) </w:t>
            </w:r>
            <w:r>
              <w:rPr>
                <w:rFonts w:ascii="Arial" w:cs="Arial" w:eastAsia="Arial" w:hAnsi="Arial"/>
                <w:sz w:val="11"/>
                <w:szCs w:val="11"/>
                <w:b w:val="1"/>
                <w:bCs w:val="1"/>
                <w:color w:val="auto"/>
              </w:rPr>
              <w:t>(4)</w:t>
            </w: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 xml:space="preserve">Huron Healthcare </w:t>
            </w:r>
            <w:r>
              <w:rPr>
                <w:rFonts w:ascii="Arial" w:cs="Arial" w:eastAsia="Arial" w:hAnsi="Arial"/>
                <w:sz w:val="11"/>
                <w:szCs w:val="11"/>
                <w:color w:val="auto"/>
              </w:rPr>
              <w:t>(5)</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Huron Legal</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Huron Education and Life Sciences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Huron Financial</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360" w:type="dxa"/>
            <w:vAlign w:val="bottom"/>
            <w:gridSpan w:val="2"/>
          </w:tcPr>
          <w:p>
            <w:pPr>
              <w:ind w:left="22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1"/>
                <w:szCs w:val="11"/>
                <w:color w:val="auto"/>
              </w:rPr>
              <w:t>(5)</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1,041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1,135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 per full-time equivalents (in thousands):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 xml:space="preserve">Huron Healthcare </w:t>
            </w:r>
            <w:r>
              <w:rPr>
                <w:rFonts w:ascii="Arial" w:cs="Arial" w:eastAsia="Arial" w:hAnsi="Arial"/>
                <w:sz w:val="11"/>
                <w:szCs w:val="11"/>
                <w:color w:val="auto"/>
              </w:rPr>
              <w:t>(5)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116</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107</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219</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Huron Legal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Huron Education and Life Sciences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132</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171</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282</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Huron Financial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60" w:type="dxa"/>
            <w:vAlign w:val="bottom"/>
            <w:gridSpan w:val="2"/>
          </w:tcPr>
          <w:p>
            <w:pPr>
              <w:ind w:left="44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1"/>
                <w:szCs w:val="11"/>
                <w:color w:val="auto"/>
              </w:rPr>
              <w:t>(5)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45</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46</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83</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10890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14"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of our full-time professionals who provide consulting services and generate revenues based on the number of hours worked.</w:t>
      </w:r>
    </w:p>
    <w:p>
      <w:pPr>
        <w:spacing w:after="0" w:line="90"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Utilization rate for our full-time billable consultants is calculated by dividing the number of hours all of our full-time billable consultants worked on client assignments during a period by the total available working hours for all of these consultants during the same period, assuming a forty-hour work week, less paid holidays and vacation days.</w:t>
      </w:r>
    </w:p>
    <w:p>
      <w:pPr>
        <w:spacing w:after="0" w:line="59" w:lineRule="exact"/>
        <w:rPr>
          <w:rFonts w:ascii="Arial" w:cs="Arial" w:eastAsia="Arial" w:hAnsi="Arial"/>
          <w:sz w:val="18"/>
          <w:szCs w:val="18"/>
          <w:color w:val="auto"/>
        </w:rPr>
      </w:pPr>
    </w:p>
    <w:p>
      <w:pPr>
        <w:ind w:left="340" w:hanging="332"/>
        <w:spacing w:after="0" w:line="268"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Average billing rate per hour for our full-time billable consultants is calculated by dividing revenues for a period by the number of hours worked on client assignments during the same period.</w:t>
      </w:r>
    </w:p>
    <w:p>
      <w:pPr>
        <w:spacing w:after="0" w:line="50"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of consultants who work variable schedules as needed by our clients, as well as other professionals who generate revenues primarily based on number of hours worked and units produced, such as pages reviewed and data processed. Also includes full-time employees who provide software support and maintenance services to our clients.</w:t>
      </w:r>
    </w:p>
    <w:p>
      <w:pPr>
        <w:spacing w:after="0" w:line="59"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Effective January 1, 2013, a group within the Huron Healthcare segment that provides post-implementation services that was previously classified as full-time equivalents is now classified as full-time billable consultants due to the evolving nature of the services that they offer. Prior periods have been revised to reflect this change.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9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also assess our results of operations using certain non-GAAP financial measures. These non-GAAP financial measures differ from GAAP because the non-GAAP financial measures we calculate to measure adjusted EBITDA, adjusted net income from continuing operations and adjusted diluted earnings per share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management uses the non-GAAP financial measures to gain an understanding of our comparative operating performance, for example when comparing such results with previous periods or forecasts. These non-GAAP financial measures are used by management in their financial and operating decision making because management believes they reflect our ongoing business in a manner that allows for meaningful period-to-period 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in understanding and evaluating Huron’s current operating performance and future prospects in the same manner as management does and in comparing in a consistent manner Huron’s current financial results with Huron’s past financial results.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reconciliations of these financial measures from GAAP to non-GAAP are as follows (in thousands):</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4"/>
          </w:tcPr>
          <w:p>
            <w:pPr>
              <w:jc w:val="right"/>
              <w:ind w:right="232"/>
              <w:spacing w:after="0"/>
              <w:rPr>
                <w:sz w:val="20"/>
                <w:szCs w:val="20"/>
                <w:color w:val="auto"/>
              </w:rPr>
            </w:pPr>
            <w:r>
              <w:rPr>
                <w:rFonts w:ascii="Arial" w:cs="Arial" w:eastAsia="Arial" w:hAnsi="Arial"/>
                <w:sz w:val="18"/>
                <w:szCs w:val="18"/>
                <w:b w:val="1"/>
                <w:bCs w:val="1"/>
                <w:color w:val="auto"/>
                <w:w w:val="93"/>
              </w:rPr>
              <w:t>Three Months Ended</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5"/>
          </w:tcPr>
          <w:p>
            <w:pPr>
              <w:ind w:left="200"/>
              <w:spacing w:after="0"/>
              <w:rPr>
                <w:sz w:val="20"/>
                <w:szCs w:val="20"/>
                <w:color w:val="auto"/>
              </w:rPr>
            </w:pPr>
            <w:r>
              <w:rPr>
                <w:rFonts w:ascii="Arial" w:cs="Arial" w:eastAsia="Arial" w:hAnsi="Arial"/>
                <w:sz w:val="18"/>
                <w:szCs w:val="18"/>
                <w:b w:val="1"/>
                <w:bCs w:val="1"/>
                <w:color w:val="auto"/>
              </w:rPr>
              <w:t>Six Months Ended</w:t>
            </w:r>
          </w:p>
        </w:tc>
      </w:tr>
      <w:tr>
        <w:trPr>
          <w:trHeight w:val="229"/>
        </w:trPr>
        <w:tc>
          <w:tcPr>
            <w:tcW w:w="2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63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9"/>
              </w:rPr>
              <w:t>2013</w:t>
            </w:r>
          </w:p>
        </w:tc>
        <w:tc>
          <w:tcPr>
            <w:tcW w:w="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9"/>
              </w:rPr>
              <w:t>2012</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99"/>
              </w:rPr>
              <w:t>2013</w:t>
            </w:r>
          </w:p>
        </w:tc>
        <w:tc>
          <w:tcPr>
            <w:tcW w:w="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170,407</w:t>
            </w:r>
          </w:p>
        </w:tc>
        <w:tc>
          <w:tcPr>
            <w:tcW w:w="3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86"/>
              </w:rPr>
              <w:t>144,671</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334,443</w:t>
            </w:r>
          </w:p>
        </w:tc>
        <w:tc>
          <w:tcPr>
            <w:tcW w:w="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89"/>
              </w:rPr>
              <w:t>283,308</w:t>
            </w:r>
          </w:p>
        </w:tc>
        <w:tc>
          <w:tcPr>
            <w:tcW w:w="100" w:type="dxa"/>
            <w:vAlign w:val="bottom"/>
            <w:shd w:val="clear" w:color="auto" w:fill="CCEEFF"/>
          </w:tcPr>
          <w:p>
            <w:pPr>
              <w:spacing w:after="0"/>
              <w:rPr>
                <w:sz w:val="18"/>
                <w:szCs w:val="18"/>
                <w:color w:val="auto"/>
              </w:rPr>
            </w:pPr>
          </w:p>
        </w:tc>
      </w:tr>
      <w:tr>
        <w:trPr>
          <w:trHeight w:val="20"/>
        </w:trPr>
        <w:tc>
          <w:tcPr>
            <w:tcW w:w="636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6"/>
        </w:trPr>
        <w:tc>
          <w:tcPr>
            <w:tcW w:w="6360" w:type="dxa"/>
            <w:vAlign w:val="bottom"/>
            <w:gridSpan w:val="2"/>
          </w:tcPr>
          <w:p>
            <w:pPr>
              <w:spacing w:after="0"/>
              <w:rPr>
                <w:sz w:val="20"/>
                <w:szCs w:val="20"/>
                <w:color w:val="auto"/>
              </w:rPr>
            </w:pPr>
            <w:r>
              <w:rPr>
                <w:rFonts w:ascii="Arial" w:cs="Arial" w:eastAsia="Arial" w:hAnsi="Arial"/>
                <w:sz w:val="18"/>
                <w:szCs w:val="18"/>
                <w:color w:val="auto"/>
              </w:rPr>
              <w:t>Net income from continuing operations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15,814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6,305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27,183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6,892</w:t>
            </w:r>
          </w:p>
        </w:tc>
        <w:tc>
          <w:tcPr>
            <w:tcW w:w="100" w:type="dxa"/>
            <w:vAlign w:val="bottom"/>
          </w:tcPr>
          <w:p>
            <w:pPr>
              <w:spacing w:after="0"/>
              <w:rPr>
                <w:sz w:val="23"/>
                <w:szCs w:val="23"/>
                <w:color w:val="auto"/>
              </w:rPr>
            </w:pPr>
          </w:p>
        </w:tc>
      </w:tr>
      <w:tr>
        <w:trPr>
          <w:trHeight w:val="218"/>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Add back:</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12,877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6,218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21,001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7,735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other expenses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2,178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3,708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3,711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5,551</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5,195</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10,988</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10,990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before interest, taxes, depreciation and amortization (EBITDA)</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19,896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62,880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29,328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Add back:</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Restatement related expenses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212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1,717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rPr>
              <w:t>Restructuring charges</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229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596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Litigation settlement (gain) loss</w:t>
            </w: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1,150</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18"/>
                <w:szCs w:val="18"/>
                <w:color w:val="auto"/>
              </w:rPr>
            </w:pPr>
          </w:p>
        </w:tc>
      </w:tr>
      <w:tr>
        <w:trPr>
          <w:trHeight w:val="222"/>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Adjusted EBITDA</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36,696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21,487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62,326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33,254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as a percentage of revenues</w:t>
            </w: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3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14.9%</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18.6%</w:t>
            </w:r>
          </w:p>
        </w:tc>
        <w:tc>
          <w:tcPr>
            <w:tcW w:w="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5"/>
          </w:tcPr>
          <w:p>
            <w:pPr>
              <w:jc w:val="right"/>
              <w:ind w:right="232"/>
              <w:spacing w:after="0"/>
              <w:rPr>
                <w:sz w:val="20"/>
                <w:szCs w:val="20"/>
                <w:color w:val="auto"/>
              </w:rPr>
            </w:pPr>
            <w:r>
              <w:rPr>
                <w:rFonts w:ascii="Arial" w:cs="Arial" w:eastAsia="Arial" w:hAnsi="Arial"/>
                <w:sz w:val="18"/>
                <w:szCs w:val="18"/>
                <w:b w:val="1"/>
                <w:bCs w:val="1"/>
                <w:color w:val="auto"/>
                <w:w w:val="93"/>
              </w:rPr>
              <w:t>Three Months Ended</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5"/>
          </w:tcPr>
          <w:p>
            <w:pPr>
              <w:ind w:left="1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5"/>
              </w:rPr>
              <w:t>June 30,</w:t>
            </w:r>
          </w:p>
        </w:tc>
        <w:tc>
          <w:tcPr>
            <w:tcW w:w="7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8"/>
                <w:szCs w:val="18"/>
                <w:b w:val="1"/>
                <w:bCs w:val="1"/>
                <w:color w:val="auto"/>
              </w:rPr>
              <w:t>June 30,</w:t>
            </w: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9"/>
              </w:rPr>
              <w:t>2013</w:t>
            </w:r>
          </w:p>
        </w:tc>
        <w:tc>
          <w:tcPr>
            <w:tcW w:w="18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99"/>
              </w:rPr>
              <w:t>2012</w:t>
            </w:r>
          </w:p>
        </w:tc>
        <w:tc>
          <w:tcPr>
            <w:tcW w:w="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2013</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94"/>
              </w:rPr>
              <w:t>2012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from continuing operations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15,814</w:t>
            </w:r>
          </w:p>
        </w:tc>
        <w:tc>
          <w:tcPr>
            <w:tcW w:w="18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6,305</w:t>
            </w:r>
          </w:p>
        </w:tc>
        <w:tc>
          <w:tcPr>
            <w:tcW w:w="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27,183</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6,892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Weighted average shares – diluted</w:t>
            </w: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22,760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w w:val="98"/>
              </w:rPr>
              <w:t>22,248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22,624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color w:val="auto"/>
                <w:w w:val="90"/>
              </w:rPr>
              <w:t>22,206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 from continuing operations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0.28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1.20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rPr>
              <w:t>Add back:</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1,607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2,907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3,226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200"/>
              <w:spacing w:after="0"/>
              <w:rPr>
                <w:sz w:val="20"/>
                <w:szCs w:val="20"/>
                <w:color w:val="auto"/>
              </w:rPr>
            </w:pPr>
            <w:r>
              <w:rPr>
                <w:rFonts w:ascii="Arial" w:cs="Arial" w:eastAsia="Arial" w:hAnsi="Arial"/>
                <w:sz w:val="18"/>
                <w:szCs w:val="18"/>
                <w:color w:val="auto"/>
              </w:rPr>
              <w:t>Restatement related expenses</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212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1,717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charges</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229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596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200"/>
              <w:spacing w:after="0"/>
              <w:rPr>
                <w:sz w:val="20"/>
                <w:szCs w:val="20"/>
                <w:color w:val="auto"/>
              </w:rPr>
            </w:pPr>
            <w:r>
              <w:rPr>
                <w:rFonts w:ascii="Arial" w:cs="Arial" w:eastAsia="Arial" w:hAnsi="Arial"/>
                <w:sz w:val="18"/>
                <w:szCs w:val="18"/>
                <w:color w:val="auto"/>
              </w:rPr>
              <w:t>Litigation settlement (gain) loss</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1,150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(1,150)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effect</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(819)</w:t>
            </w:r>
          </w:p>
        </w:tc>
        <w:tc>
          <w:tcPr>
            <w:tcW w:w="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(1,279)</w:t>
            </w:r>
          </w:p>
        </w:tc>
        <w:tc>
          <w:tcPr>
            <w:tcW w:w="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(941)</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4"/>
              </w:rPr>
              <w:t>(2,861)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Total adjustments, net of tax</w:t>
            </w: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w:t>
            </w:r>
          </w:p>
        </w:tc>
        <w:tc>
          <w:tcPr>
            <w:tcW w:w="1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1,919</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1,412</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4,291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income from continuing operations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17,042</w:t>
            </w:r>
          </w:p>
        </w:tc>
        <w:tc>
          <w:tcPr>
            <w:tcW w:w="18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8,224</w:t>
            </w:r>
          </w:p>
        </w:tc>
        <w:tc>
          <w:tcPr>
            <w:tcW w:w="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28,595</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0"/>
              </w:rPr>
              <w:t>11,183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Adjusted diluted earnings per share from continuing operations</w:t>
            </w: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80" w:type="dxa"/>
            <w:vAlign w:val="bottom"/>
            <w:gridSpan w:val="2"/>
            <w:vMerge w:val="continue"/>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0.75</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0.37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1.26</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These non-GAAP financial measures include adjustments for the following items:</w:t>
      </w:r>
    </w:p>
    <w:p>
      <w:pPr>
        <w:spacing w:after="0" w:line="90" w:lineRule="exact"/>
        <w:rPr>
          <w:sz w:val="20"/>
          <w:szCs w:val="20"/>
          <w:color w:val="auto"/>
        </w:rPr>
      </w:pPr>
    </w:p>
    <w:p>
      <w:pPr>
        <w:jc w:val="both"/>
        <w:ind w:firstLine="685"/>
        <w:spacing w:after="0" w:line="259" w:lineRule="auto"/>
        <w:rPr>
          <w:sz w:val="20"/>
          <w:szCs w:val="20"/>
          <w:color w:val="auto"/>
        </w:rPr>
      </w:pPr>
      <w:r>
        <w:rPr>
          <w:rFonts w:ascii="Arial" w:cs="Arial" w:eastAsia="Arial" w:hAnsi="Arial"/>
          <w:sz w:val="18"/>
          <w:szCs w:val="18"/>
          <w:i w:val="1"/>
          <w:iCs w:val="1"/>
          <w:color w:val="auto"/>
        </w:rPr>
        <w:t xml:space="preserve">Restatement related expenses: </w:t>
      </w:r>
      <w:r>
        <w:rPr>
          <w:rFonts w:ascii="Arial" w:cs="Arial" w:eastAsia="Arial" w:hAnsi="Arial"/>
          <w:sz w:val="18"/>
          <w:szCs w:val="18"/>
          <w:color w:val="auto"/>
        </w:rPr>
        <w:t>We have incurred significant expenses related to our 2009 financial statement restatement. We have excluded the effect of</w:t>
      </w:r>
      <w:r>
        <w:rPr>
          <w:rFonts w:ascii="Arial" w:cs="Arial" w:eastAsia="Arial" w:hAnsi="Arial"/>
          <w:sz w:val="18"/>
          <w:szCs w:val="18"/>
          <w:i w:val="1"/>
          <w:iCs w:val="1"/>
          <w:color w:val="auto"/>
        </w:rPr>
        <w:t xml:space="preserve"> </w:t>
      </w:r>
      <w:r>
        <w:rPr>
          <w:rFonts w:ascii="Arial" w:cs="Arial" w:eastAsia="Arial" w:hAnsi="Arial"/>
          <w:sz w:val="18"/>
          <w:szCs w:val="18"/>
          <w:color w:val="auto"/>
        </w:rPr>
        <w:t>these restatement related expenses from our non-GAAP measures as a means to provide comparability with periods that were not impacted by the restatement related expenses.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685"/>
        <w:spacing w:after="0" w:line="294" w:lineRule="auto"/>
        <w:rPr>
          <w:sz w:val="20"/>
          <w:szCs w:val="20"/>
          <w:color w:val="auto"/>
        </w:rPr>
      </w:pPr>
      <w:r>
        <w:rPr>
          <w:rFonts w:ascii="Arial" w:cs="Arial" w:eastAsia="Arial" w:hAnsi="Arial"/>
          <w:sz w:val="16"/>
          <w:szCs w:val="16"/>
          <w:i w:val="1"/>
          <w:iCs w:val="1"/>
          <w:color w:val="auto"/>
        </w:rPr>
        <w:t xml:space="preserve">Restructuring charges: </w:t>
      </w:r>
      <w:r>
        <w:rPr>
          <w:rFonts w:ascii="Arial" w:cs="Arial" w:eastAsia="Arial" w:hAnsi="Arial"/>
          <w:sz w:val="16"/>
          <w:szCs w:val="16"/>
          <w:color w:val="auto"/>
        </w:rPr>
        <w:t>We have incurred charges due to the restructuring of various parts of our business. These restructuring charges have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consisted of severance charges, costs associated with office space reductions including the accelerated depreciation of certain leasehold improvements, and the write-off of certain impaired intangible assets. We have excluded the effect of the restructuring charges from our non-GAAP measures as a means to provide comparability with periods that were not impacted by a restructuring charge. Additionally, the amount of each restructuring charge is significantly affected by the timing and size of the restructured business or component of a business.</w:t>
      </w:r>
    </w:p>
    <w:p>
      <w:pPr>
        <w:spacing w:after="0" w:line="35" w:lineRule="exact"/>
        <w:rPr>
          <w:sz w:val="20"/>
          <w:szCs w:val="20"/>
          <w:color w:val="auto"/>
        </w:rPr>
      </w:pPr>
    </w:p>
    <w:p>
      <w:pPr>
        <w:jc w:val="both"/>
        <w:ind w:right="20" w:firstLine="685"/>
        <w:spacing w:after="0" w:line="268" w:lineRule="auto"/>
        <w:rPr>
          <w:sz w:val="20"/>
          <w:szCs w:val="20"/>
          <w:color w:val="auto"/>
        </w:rPr>
      </w:pPr>
      <w:r>
        <w:rPr>
          <w:rFonts w:ascii="Arial" w:cs="Arial" w:eastAsia="Arial" w:hAnsi="Arial"/>
          <w:sz w:val="18"/>
          <w:szCs w:val="18"/>
          <w:i w:val="1"/>
          <w:iCs w:val="1"/>
          <w:color w:val="auto"/>
        </w:rPr>
        <w:t xml:space="preserve">Litigation settlement (gain) loss: </w:t>
      </w:r>
      <w:r>
        <w:rPr>
          <w:rFonts w:ascii="Arial" w:cs="Arial" w:eastAsia="Arial" w:hAnsi="Arial"/>
          <w:sz w:val="18"/>
          <w:szCs w:val="18"/>
          <w:color w:val="auto"/>
        </w:rPr>
        <w:t>We have excluded the effect of the litigation settlements because its exclusion permits comparability with periods that</w:t>
      </w:r>
      <w:r>
        <w:rPr>
          <w:rFonts w:ascii="Arial" w:cs="Arial" w:eastAsia="Arial" w:hAnsi="Arial"/>
          <w:sz w:val="18"/>
          <w:szCs w:val="18"/>
          <w:i w:val="1"/>
          <w:iCs w:val="1"/>
          <w:color w:val="auto"/>
        </w:rPr>
        <w:t xml:space="preserve"> </w:t>
      </w:r>
      <w:r>
        <w:rPr>
          <w:rFonts w:ascii="Arial" w:cs="Arial" w:eastAsia="Arial" w:hAnsi="Arial"/>
          <w:sz w:val="18"/>
          <w:szCs w:val="18"/>
          <w:color w:val="auto"/>
        </w:rPr>
        <w:t>were not impacted by these items.</w:t>
      </w:r>
    </w:p>
    <w:p>
      <w:pPr>
        <w:spacing w:after="0" w:line="51"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Amortization of intangible assets</w:t>
      </w:r>
      <w:r>
        <w:rPr>
          <w:rFonts w:ascii="Arial" w:cs="Arial" w:eastAsia="Arial" w:hAnsi="Arial"/>
          <w:sz w:val="16"/>
          <w:szCs w:val="16"/>
          <w:color w:val="auto"/>
        </w:rPr>
        <w:t>: We have excluded the effect of amortization of intangible assets from the non-GAAP measures presented above.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intangibles is inconsistent in its amount and frequency and is significantly affected by the timing and size of our acquisitions.</w:t>
      </w:r>
    </w:p>
    <w:p>
      <w:pPr>
        <w:spacing w:after="0" w:line="8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 xml:space="preserve">Tax effect: </w:t>
      </w:r>
      <w:r>
        <w:rPr>
          <w:rFonts w:ascii="Arial" w:cs="Arial" w:eastAsia="Arial" w:hAnsi="Arial"/>
          <w:sz w:val="18"/>
          <w:szCs w:val="18"/>
          <w:color w:val="auto"/>
        </w:rPr>
        <w:t>The non-GAAP income tax adjustment reflects the incremental tax rate applicable to the non-GAAP adjustments.</w:t>
      </w:r>
    </w:p>
    <w:p>
      <w:pPr>
        <w:spacing w:after="0" w:line="90" w:lineRule="exact"/>
        <w:rPr>
          <w:sz w:val="20"/>
          <w:szCs w:val="20"/>
          <w:color w:val="auto"/>
        </w:rPr>
      </w:pPr>
    </w:p>
    <w:p>
      <w:pPr>
        <w:jc w:val="both"/>
        <w:ind w:firstLine="685"/>
        <w:spacing w:after="0" w:line="259" w:lineRule="auto"/>
        <w:rPr>
          <w:sz w:val="20"/>
          <w:szCs w:val="20"/>
          <w:color w:val="auto"/>
        </w:rPr>
      </w:pPr>
      <w:r>
        <w:rPr>
          <w:rFonts w:ascii="Arial" w:cs="Arial" w:eastAsia="Arial" w:hAnsi="Arial"/>
          <w:sz w:val="18"/>
          <w:szCs w:val="18"/>
          <w:i w:val="1"/>
          <w:iCs w:val="1"/>
          <w:color w:val="auto"/>
        </w:rPr>
        <w:t xml:space="preserve">Income tax expense, Interest and other expenses, Depreciation and amortization: </w:t>
      </w:r>
      <w:r>
        <w:rPr>
          <w:rFonts w:ascii="Arial" w:cs="Arial" w:eastAsia="Arial" w:hAnsi="Arial"/>
          <w:sz w:val="18"/>
          <w:szCs w:val="18"/>
          <w:color w:val="auto"/>
        </w:rPr>
        <w:t>We have excluded the effects of income tax expense, interest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and depreciation and amortization in the calculation of EBITDA as these are customary exclusions as defined by the calculation of EBITDA to arrive at meaningful earnings from core operations excluding the effect of such items.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2013 Compared to Three Months Ended June 30, 2012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Revenues increased $25.7 million, or 17.8%, to $170.4 million for the second quarter of 2013 from $144.7 million for the second quarter of 2012.</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Of the overall $25.7 million increase in revenues, $24.0 million was attributable to our full-time billable consultants, while $1.7 million was attributable to our full-time equivalents. The increase in full-time billable consultant revenues was driven by increases in the average number of billable consultants, our average billing rate and our consultant utilization rate. The increase primarily reflected strengthened demand for our services in the Huron Healthcare, Huron Education and Life Sciences and Huron Financial segments, partially offset by a decrease in demand for our services in the Huron Legal segment. The increase in full-time equivalent revenue was primarily attributable to an increase in the average number of full-time equivalents, partially offset by a decrease in revenues per full-time equivalent. Revenue attributable to full-time equivalents primarily reflected increased use of contractors in the Huron Education and Life Sciences, Huron Financial and Huron Healthcare segments, partially offset by a decreased demand for our document review and electronic data discovery services in the Huron Legal segment.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96"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Our total direct costs increased $10.5 million, or 11.3%, to $103.5 million in the three months ended June 30, 2013 from $93.0 million in the three months ended June 30, 2012. The increase was primarily related to a $14.7 million increase in salaries, bonuses and related expenses for our revenue-generating professionals, partially offset by a $3.6 million decrease in contractor expense, a $0.5 million decrease in intangible asset amortization expense and a $0.3 million decrease in technology expense. As a percentage of revenues, our total direct costs decreased to 60.8% during the second quarter of 2013 compared to 64.3% during the second quarter of 2012. This primarily reflected the decrease in contractor expense, technology expense and intangible asset amortization expense, partially offset by an increase in salaries, bonuses and related expenses for our revenue-generating professionals as a percentage of revenues during the second quarter of 2013.</w:t>
      </w:r>
    </w:p>
    <w:p>
      <w:pPr>
        <w:spacing w:after="0" w:line="10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Total direct costs for the three months ended June 30, 2013 included $3.3 million of share-based compensation expense and $0.7 million of amortization expense for intangible assets and software development costs, primarily representing customer-related assets and software acquired in business combinations. Total direct costs for the three months ended June 30, 2012 included $2.7 million of share-based compensation expense and $1.1 million of intangible asset amortization expense. The decrease in intangible asset amortization is primarily attributable to certain intangible assets that became fully amortized during the third quarter of 2012, partially offset by the amortization of intangible assets acquired during the second half of 2012.</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in Note 2 “Basis of Presentation” under “Part I — Item 1. Consolidated Financial Statements” of this Quarterly Report, in the second quarter of 2013, we identified a $1.1 million error in stock-based compensation expense resulting from the use of the straight-line attribution method for performance awards with graded vesting features granted 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prior periods. The $1.1 million pretax adjustment, which represents the cumulative error related to all prior period financial statements beginning with the first quarter of 2010 through the first quarter of 2013, resulted in a $0.9 million increase in Direct costs and a $0.2 million increase in Selling, general and administrative expense. After consideration of both quantitative and qualitative factors, we concluded that our previously issued annual and quarterly financial statements for the years 2010, 2011, 2012 and the first quarter of 2013 were not materially misstated, and the effect of recognizing this adjustment during the second quarter of 2013 is not material for the period then ended and is not expected to be material for the full year 2013 results.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6"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Selling, general and administrative expenses decreased $0.5 million, or 1.4%, to $30.8 million in the second quarter of 2013 from $31.3 million in the second quarter of 2012. This decrease was primarily related to a $1.1 million decrease in legal expenses, a $1.0 million decrease in facilities and other office related expenses, and a $0.6 million decrease in training expenses. These decreases were partially offset by a $1.9 million increase in salaries, bonuses and related expenses for our support personnel and a $0.4 million increase in computer equipment and software license expenses. As a percentage of revenues, selling, general and administrative expenses decreased to 18.1% during the second quarter of 2013 compared to 21.6% during the second quarter of 2012. This decrease primarily reflected the decrease in legal expenses, facilities and other office related expenses, and training expenses, as well as our revenue growth that outpaced the growth in salaries, bonuses and related expenses for our support personnel and promotion and marketing expense during the second quarter of 2013.</w:t>
      </w:r>
    </w:p>
    <w:p>
      <w:pPr>
        <w:spacing w:after="0" w:line="7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did not incur restatement related expenses during the second quarter of 2013. During the second quarter of 2012, we incurred $0.2 million of restatement related expenses.</w:t>
      </w:r>
    </w:p>
    <w:p>
      <w:pPr>
        <w:spacing w:after="0" w:line="1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second quarter of 2013, we recorded a $0.6 million restructuring expense related to the consolidation of office space in the Washington, D.C. area. This office space was acquired in the AdamsGrayson acquisition that occurred in the second half of 2012. See Note 8 “Restructuring Charges” for further discussion of our restructuring expense. Restructuring expense was $0.2 million in the second quarter of 2012.</w:t>
      </w:r>
    </w:p>
    <w:p>
      <w:pPr>
        <w:spacing w:after="0" w:line="11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Litigation settlement expense was $1.2 million for the second quarter of 2012. During the second quarter of 2012, we conducted preliminary settlement discussions with the relator in the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 discussed in “Legal Proceedings” and in Note 13 “Commitments, Contingencies and Guarantees,” and, as a result, we recorded a charge of $1.2 million, in accordance with FASB ASC Topic 450, “Contingencies.” On March 8, 2013, the Court granted Huron’s motion for summary judgment and dismissed the relator’s second amended complaint in its entirety with prejudice. As a result, during the first quarter of 2013, we reversed the charge of $1.2 million taken during 2012.</w:t>
      </w:r>
    </w:p>
    <w:p>
      <w:pPr>
        <w:spacing w:after="0" w:line="1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Depreciation and amortization expense increased by $0.8 million to $4.9 million in the three months ended June 30, 2013 from $4.1 million in the three months ended June 30, 2012. This increase is primarily attributable to amortization expense for intangible assets acquired during the second half of 2012, partially offset by certain intangible assets that became fully amortized during the second half of 2012. Non-direct intangible asset amortization relates to non-competition agreements, trade names and certain customer relationships acquired in connection with our acquisitions.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Operating income increased $15.8 million, or 107.8%, to $30.5 million in the second quarter of 2013 from $14.7 million in the second quarter of 2012. Operating margin, which is defined as operating income expressed as a percentage of revenues, increased to 17.9% in the three months ended June 30, 2013 compared to 10.2% in the three months ended June 30, 2012. The increase in operating margin is primarily attributable to decreases in contractor expense, legal expenses, facilities and other office related expenses, training expense, and technology expense, as well as the decreases in salaries, bonuses and related expenses for our support personnel and promotion and marketing expense as a percentage of revenues during the second quarter of 2013. The operating margin in the second quarter of 2012 was negatively impacted by the litigation settlement expense in the period.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expense, net decreased by $0.3 million to $1.9 million in the second quarter of 2013 from $2.2 million in the second quarter of 2012. The decrease was primarily attributable to a $0.3 million, or 15.3%, decrease in interest expense in the second quarter of 2013, which was the result of a decrease in our borrowing levels combined with lower interest rates.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9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 the second quarter of 2013, we recognized income tax expense from continuing operations of $12.9 million on income from continuing operations of $28.7 million. For the second quarter of 2012, we recognized income tax expense from continuing operations of $6.2 million on income from continuing operations of $12.5 million. Our effective tax rate for the second quarter of 2013 was 44.9% compared with 49.7% in 2012. The effective tax rate for both periods was higher than the statutory rate, inclusive of state income taxes, due primarily to the impact of foreign losses with no tax benefit and certain non-deductible business expenses. The foreign losses with no tax benefit and non-deductible expenses had a larger impact on our effective tax rate in the second quarter of 2012 compared to 2013 due to the lower pretax income from continuing operations in the second quarter of 2012.</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from Continuing Operations</w:t>
      </w:r>
    </w:p>
    <w:p>
      <w:pPr>
        <w:spacing w:after="0" w:line="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income from continuing operations was $15.8 million for the three months ended June 30, 2013 compared to net income from continuing operations of $6.3 million for the same period last year. The increase in net income from continuing operations was primarily due to the increase in operating income, as discussed above, partially offset by the corresponding increase in income tax expense. As a result of the increase in net income from continuing operations, diluted earnings per share from continuing operations for the second quarter of 2013 was $0.69 compared to diluted earnings per share from continuing operations of $0.28 for the second quarter of 2012.</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loss from discontinued operations was less than $0.1 million in the second quarter of 2013, compared to net income from discontinued operations of $0.2 million in the second quarter of 2012. See Note 4 “Discontinued Operations” of this Quarterly Report on Form 10-Q for further information about our discontinued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EBITDA increased $16.2 million to $36.1 million for the three months ended June 30, 2013 from $19.9 million for the three months ended June 30, 2012. Adjusted EBITDA increased $15.2 million to $36.7 million in the second quarter of 2013 from $21.5 million in the second quarter of 2012. The increases in both EBITDA and Adjusted EBITDA were primarily driven by the increases in segment operating income of our Huron Healthcare, Huron Financial and Huron Education and Life Sciences segments, partially offset by the decrease in segment operating income of our Huron Legal segment, as discussed below in Segment Results.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net income from continuing operations was $17.0 million in the second quarter of 2013 compared to $8.2 million in the second quarter of 2012. The increase was primarily attributable to the increase in net income from continuing operations, partially offset by the decrease in litigation settlement loss, which is excluded from the computation of adjusted net income from continuing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Healthcare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Huron Healthcare segment revenues increased $16.2 million, or 25.9%, to $78.9 million for the second quarter of 2013 from $62.7 million for the second quarter of 2012. Revenues from time-and-expense engagements, fixed-fee engagements, performance-based arrangements and software support and maintenance arrangements represented 2.0%, 70.1%, 22.9% and 5.0% of this segment’s revenues during the three months ended June 30, 2013, respectively, compared to 0.7%, 70.5%, 22.0% and 6.8%, respectively, for the comparable period in 2012.</w:t>
      </w:r>
    </w:p>
    <w:p>
      <w:pPr>
        <w:spacing w:after="0" w:line="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Of the overall $16.2 million increase in revenues, $16.0 million was attributable to our full-time billable consultants and $0.2 million was attributable to our full-time equivalents. The increase in demand for our services reflected the increased pressures our clients face as the result of evolving business models, rising costs, and declining reimbursements from government and commercial payers. The increase in full-time billable consultant revenues reflected increases in the average number of full-time billable consultants, average billing rate and consultant utilization rate. Performance-based fee revenues were $18.0 million during the second quarter of 2013 compared to $13.8 million during the second quarter of 2012. Performance-based fee engagements may cause significant variations in quarterly revenues, operating results and average billing rates due to the timing of achievement of the performance-based criteria.</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Huron Healthcare segment operating income increased $9.4 million, or 47.0%, to $29.5 million in the three months ended June 30, 2013 from $20.1 million in the three months ended June 30, 2012. The Huron Healthcare segment operating margin, defined as segment operating income expressed as a percentage of segment revenues, increased to 37.4% for the second quarter of 2013 from 32.0% in the same period last year. The increase in this segment’s operating margin was primarily attributable to decreases in legal expense, technology expense, intangible asset amortization expense, training expense and contractor expense, partially offset by an increase in salaries, bonuses and related expenses for our revenue-generating professionals as a percentage of revenues.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Legal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Huron Legal segment revenues decreased $0.8 million, or 1.8%, to $45.1 million for the second quarter of 2013 from $45.9 million for the second quarter of 2012. Revenues for the second quarter of 2013 included $5.9 million from our acquisition of AdamsGrayon that occurred in the second half of 2012, while revenues for the second quarter of 2012 did not include any revenue from AdamsGrayson. Revenues from time-and-expense engagements, fixed-fee engagements, and support and maintenance arrangements represented 95.6%, 4.0%, and 0.4%, respectively, of this segment’s revenues during the three months ended June 30, 2013. Revenues from time-and-expense engagements and fixed-fee engagements represented 96.0% and 4.0%, respectively, of this segment’s revenues for the comparable period in 2012.</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Of the overall $0.8 million decrease in revenues, $0.6 million was attributable to our full-time billable consultants and $0.2 million was attributable to our full-time equivalents. The decrease in revenues primarily reflected a decrease in demand for our advisory services. The decrease in full-time billable consultant revenue reflected a lower consultant utilization rate and average billing rate, partially offset by an increase in the average number of full-time billable consultants. The decrease in revenue attributable to our full-time equivalents was the result of a decrease in the average revenue per full-time equivalent, partially offset by an increase in the average number of full-time equivalents.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Huron Legal segment operating income decreased by $1.7 million, or 13.6%, to $10.8 million in the three months ended June 30, 2013 from $12.5 million in the three months ended June 30, 2012. Segment operating margin decreased to 23.9% for the second quarter of 2013 from 27.2% in the same period last year. The decrease in this segment’s operating margin was primarily attributable to increases in salaries, bonuses and related expenses for both our revenue-generating professionals and support personnel, as well as increases in restructuring expense, technology expense, severance expense, and promotion and sponsorship expenses, largely offset by a decrease in contractor expense as a percentage of revenues.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Education and Life Sciences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Huron Education and Life Sciences segment revenues increased $5.3 million, or 16.6%, to $37.1 million for the second quarter of 2013 from $31.8 million for the second quarter of 2012. Revenues from time-and-expense engagements, fixed-fee engagements and software support and maintenance arrangements represented 82.4%, 13.8% and 3.8% of this segment’s revenues during the three months ended June 30, 2013, respectively, compared to 74.5%, 21.7% and 3.8%, respectively, for the comparable period in 2012.</w:t>
      </w:r>
    </w:p>
    <w:p>
      <w:pPr>
        <w:spacing w:after="0" w:line="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Of the overall $5.3 million increase in revenues, $4.1 million was attributable to our full-time billable consultants and $1.2 million was related to our full-time equivalents. The overall increase in demand for our services in the Huron Education and Life Sciences segment reflected the increased competitive pressures faced by our clients as the result of increased regulation, rising costs, and declining funding. The increase in revenues from our full-time billable consultants reflected increases in the average number of full-time billable consultants and the average billing rate, partially offset by a decrease in the consultant utilization rate. The increase in revenue attributable to our full-time equivalents was driven by an increase in the average number of full-time equivalents, partially offset by a decrease in the average revenue per full-time equivalent.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6"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Huron Education and Life Sciences segment operating income increased $2.3 million, or 25.7%, to $11.5 million in the three months ended June 30, 2013 from $9.2 million in the three months ended June 30, 2012. The Huron Education and Life Sciences segment operating margin, defined as segment operating income expressed as a percentage of segment revenues, increased to 31.1% for the second quarter of 2013 from 28.9% in the same period last year. The increase in this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segment’s operating margin was primarily attributable to decreases in salaries, bonuses and related expenses for both our revenue-generating professionals and support personnel as a percentage of revenues, and decreases in practice administration and meeting expenses, training costs and intangible asset amortization expense, partially offset by an increase in contractor expense.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Financial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Huron Financial segment revenues increased $5.0 million, or 116.3%, to $9.3 million for the second quarter of 2013 from $4.3 million for the second quarter of 2012. Revenues from time-and-expense engagements and fixed-fee engagements represented 81.2% and 18.8%, respectively, of this segment’s revenues during the second quarter of 2013. Revenues from time-and-expense engagements and fixed-fee engagements represented 81.8% and 18.2%, respectively, for the comparable period in 2012.</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Of the overall $5.0 million increase in revenues, $4.5 million was attributable to our full-time billable consultants and $0.5 million was attributable to our full-time equivalents. The increased revenue generated by our full-time billable consultants reflected higher consultant utilization rate and average billing rate, partially offset by a decrease in the average number of full-time billable consultants. The increase in revenue attributable to our full-time equivalents was driven by an increase in the average revenue per full-time equivalent and the average number of full-time equivalents. The overall increase in revenues is attributable to an increase in demand for our restructuring and turnaround and operational improvement consulting services. The increased demand in this segment is partially a result of the initiatives we undertook during 2012, including broadening our service offerings and increasing marketing efforts, which were intended to increase demand for our services and improve the segment’s financial performance. While we believe that this segment will continue to grow, we expect the year-over-year revenue growth rate will moderate during the second half of the year as certain large engagements begin to wind down.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Huron Financial segment operating income increased by $4.3 million to $4.0 million in the three months ended June 30, 2013 compared to a loss of $0.3 million in the three months ended June 30, 2012. Segment operating margin increased to 42.7% for the second quarter of 2013 from a negative 7.9% in the same period last year. The increase in this segment’s operating margin was primarily attributable to a decrease in salaries, bonuses and related expenses for our revenue-generating professionals as a percentage of revenues.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2013 Compared to Six Months Ended June 30, 2012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Revenues increased $51.1 million, or 18.0%, to $334.4 million for the first half of 2013 from $283.3 million for the first half of 2012.</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Of the $51.1 million increase in revenues, $46.5 million was attributable to our full-time billable consultants and $4.6 million was attributable to our full-time equivalents. The increase in full-time billable consultant revenues was driven by increases in the average number of billable consultants, our average billing rate and our consultant utilization rate. The increase primarily reflected strengthened demand for our services in the Huron Healthcare, Huron Education and Life Sciences and Huron Financial segments, partially offset by a decrease in demand for our advisory services in the Huron Legal segment. The increase in full-time equivalent revenue was primarily attributable to an increase in the average number of full-time equivalents, partially offset by a decrease in revenues per full-time equivalent. Revenue attributable to full-time equivalents reflected increased use of contractors in the Huron Education and Life Sciences, Huron Healthcare and Huron Financial segments and increased demand for our document review and electronic data discovery services in the Huron Legal segment.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9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total direct costs increased $19.4 million, or 10.2%, to $210.3 million in the six months ended June 30, 2013 from $190.9 million in the six months ended June 30, 2012. The increase was primarily related to a $25.4 million increase in salaries, bonuses and related expenses for our revenue-generating professionals, partially offset by a $4.6 million decrease in contractor expense, a $1.0 million decrease in intangible asset amortization expense and a $0.6 million decrease in technology expense. As a percentage of revenues, our total direct costs decreased to 62.9% during the first half of 2013 compared to 67.4% during the first half of 2012. This primarily reflected the decrease in contractor expense, intangible asset amortization expense and technology expense, as well as revenue growth that outpaced the increase in salaries, bonuses and related expenses for our revenue-generating professionals during the first half of 2013.</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Total direct costs for the six months ended June 30, 2013 included $6.9 million of share-based compensation expense and $1.3 million of amortization expense for intangible assets and software development costs, primarily representing customer-related assets and software acquired in business combinations. Total direct costs for the six months ended June 30, 2012 included $6.5 million of share-based compensation expense and $2.3 million of intangible asset amortization expense. The decrease in intangible asset amortization is primarily attributable to certain intangible assets that became fully amortized during the third quarter of 2012, partially offset by the amortization of intangible assets acquired during the second half of 2012.</w:t>
      </w:r>
    </w:p>
    <w:p>
      <w:pPr>
        <w:spacing w:after="0" w:line="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discussed in Note 2 “Basis of Presentation” under “Part I — Item 1. Consolidated Financial Statements” of this Quarterly Report, in the second quarter of 2013, we identified a $1.1 million error in stock-based compensation expense resulting from the use of the straight-line attribution method for performance awards with graded vesting features granted in prior periods. The $1.1 million pretax adjustment, which represents the cumulative error related to all prior period financial statements beginning with the first quarter of 2010 through the first quarter of 2013, resulted in a $0.9 million increase in Direct costs and a $0.2 million increase in Selling, general and administrative expense. After consideration of both quantitative and qualitative factors, we concluded that our previously issued annual and quarterly financial statements for the years 2010, 2011, 2012 and the first quarter of 2013 were not materially misstated, and the effect of recognizing this adjustment during the second quarter of 2013 is not material for the period then ended and is not expected to be material for the full year 2013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Selling, general and administrative expenses increased $1.8 million, or 2.9%, to $63.1 million in the first half of 2013 from $61.3 million in the first half of 2012. This increase was primarily related to a $4.0 million increase in salaries, bonuses and related expenses for our support personnel, a $0.6 million increase in severance expense, and a $0.4 million increase in other miscellaneous business expenses. These increases were partially offset by a $1.2 million decrease in legal expenses, a $1.0 million decrease in facilities and other office related expenses and a $0.9 million decrease in training costs. As a percentage of revenues, selling, general and administrative expenses decreased to 18.9% during the first half of 2013 compared to 21.7% during the first half of 2012. This decrease primarily reflected the decreases in legal expenses, facilities and other office related expenses and training costs, as well as our revenue growth that outpaced the growth in other miscellaneous business expenses during the first half of 2013.</w:t>
      </w:r>
    </w:p>
    <w:p>
      <w:pPr>
        <w:spacing w:after="0" w:line="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first half of 2013, we recorded a $0.6 million restructuring expense related to the consolidation of office space in the Washington, D.C. area. This office space was acquired in the AdamsGrayson acquisition that occurred in the second half of 2012. In the first half of 2012, we recorded $1.1 million in restructuring expense, primarily consisting of accelerated depreciation on leasehold improvements at our New York office location, which we relocated during the fourth quarter of 2012, partially offset by the net favorable impact of updated assumptions for lease accruals related to previously vacated office spaces. See Note 8 “Restructuring Charges” for further discussion of restructuring expense.</w:t>
      </w:r>
    </w:p>
    <w:p>
      <w:pPr>
        <w:spacing w:after="0" w:line="1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did not incur restatement related expenses during the first half of 2013. During the first half of 2012, we incurred $1.7 million of restatement related expenses, primarily consisting of legal fees.</w:t>
      </w:r>
    </w:p>
    <w:p>
      <w:pPr>
        <w:spacing w:after="0" w:line="1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recorded a $1.2 million litigation settlement gain during the first half of 2013. During the second quarter of 2012, we conducted preliminary settlement discussions with the relator in the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 discussed in “Legal Proceedings” and in Note 13 “Commitments, Contingencies and Guarantees,” and as a result, we recorded a charge of $1.2 million, in accordance with FASB ASC Topic 450, “Contingencies.” On March 8, 2013, the Court granted Huron’s motion for summary judgment and dismissed the relator’s second amended complaint in its entirety with prejudice. As a result, during the first quarter of 2013, we reversed the charge of $1.2 million taken during 2012.</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Depreciation and amortization expense increased by $1.0 million to $9.7 million in the six months ended June 30, 2013 from $8.7 million in the six months ended June 30, 2012. The increase is primarily related to the amortization of intangible assets acquired during the second half of 2012, partially offset by certain intangible assets that became fully amortized during the second half of 2012. Non-direct intangible asset amortization relates to customer relationships, non-competition agreements and trade names acquired in connection with our acquisitions.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Operating income increased $33.6 million to $51.9 million in the first half of 2013 from $18.3 million in the first half of 2012. Operating margin, which is defined as operating income expressed as a percentage of revenues, increased to 15.5% in the six months ended June 30, 2013 compared to 6.5% in the six months ended June 30, 2012. This increase is primarily attributable to the decreases in contractor expense, restatement related expenses, legal expenses, intangible asset amortization expense and facilities and other office related expenses, as well as the decreases in salaries, bonuses and related expenses for both our revenue-generating professionals and our support personnel as a percentage of revenue during the first half of 2013. The operating margin for the first half of 2013 was also favorably impacted by the litigation settlement gain in the period, while the operating margin in the first half of 2012 was negatively impacted by the litigation settlement loss in that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9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expense, net was $3.7 million in the six months ended both June 30, 2013 and 2012. Interest expense was $3.6 million during the first half of 2013, compared to $3.9 million during the first half of 2012.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the first half of 2013, we recognized income tax expense from continuing operations of $21.0 million on income from continuing operations of $48.2 million. For the first half of 2012, we recognized income tax expense from continuing operations of $7.7 million on income from continuing operations of $14.6 million. Our effective tax rate for the first six months of 2013 was 43.6% compared with 52.9% in 2012. The effective tax rate during the first half of 2013 was higher than the statutory rate, inclusive of state income taxes, due primarily to the impact of foreign losses with no tax benefit and certain non-deductible business expenses, partially offset by the impact of the retroactive reinstatement of the federal research and development tax credit, which was enacted during the first quarter of 2013. The effective tax rate in the first half of 2012 was higher than the statutory rate, inclusive of state income taxes, due primarily to the impact of foreign losses with no tax benefit and certain non-deductible business expenses. The foreign losses with no tax benefit and the non-deductible expenses had a larger impact on our effective tax rate in the first half of 2012 compared to 2013 due to the lower pretax income from continuing operations in the first half of 2012.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from Continuing Operations</w:t>
      </w:r>
    </w:p>
    <w:p>
      <w:pPr>
        <w:spacing w:after="0" w:line="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income from continuing operations was $27.2 million for the six months ended June 30, 2013 compared to net income from continuing operations of $6.9 million for the same period last year. The increase in net income from continuing operations was primarily due to the increase in operating income, as discussed above, partially offset by the corresponding increase in income tax expense. As a result of the increase in net income from continuing operations, diluted earnings per share from continuing operations for the first half of 2013 was $1.20 compared to diluted earnings per share from continuing operations of $0.31 for the first half of 2012.</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9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Net loss from discontinued operations was less than $0.1 million in the first half of 2013, compared to net income from discontinued operations of $0.5 million in the first half of 2012. See Note 4 “Discontinued Operations” of this Quarterly Report on Form 10-Q for further information about our discontinued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9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EBITDA increased $33.6 million to $62.9 million for the six months ended June 30, 2013 from $29.3 million for the six months ended June 30, 2012. Adjusted EBITDA increased $29.0 million to $62.3 million in the first half of 2013 from $33.3 million in the same period last year. The increases in both EBITDA and Adjusted EBITDA were primarily driven by the increases in segment operating income of our Huron Healthcare, Huron Financial and Huron Education and Life Sciences segments, partially offset by the decrease in segment operating income of our Huron Legal segment, as discussed below in Segment Results. The increase in EBITDA outpaced the increase in Adjusted EBITDA due to the decreases in restatement related expenses and restructuring expense, as well as the litigation settlement gain, all of which are excluded from the computation of Adjusted EBITDA.</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w:t>
      </w:r>
    </w:p>
    <w:p>
      <w:pPr>
        <w:spacing w:after="0" w:line="9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Adjusted net income from continuing operations was $28.6 million in the first half of 2013 compared to $11.2 million in the first half of 2012. The increase was primarily attributable to the increase in net income from continuing operations, partially offset by the decreases in restatement related expenses and restructuring expenses, as well as the litigation settlement gain, all of which are excluded from the computation of adjusted net income from continuing operations.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Healthcare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Huron Healthcare segment revenues increased $31.5 million, or 25.0%, to $157.7 million for the first half of 2013 from $126.2 million for the first half of 2012. Revenues from time-and-expense engagements, fixed-fee engagements, performance-based arrangements and software support and maintenance arrangements represented 1.6%, 70.3%, 23.1% and 5.0% of this segment’s revenues during the six months ended June 30, 2013, respectively, compared to 1.2%, 69.1%, 23.3% and 6.4%, respectively, for the comparable period in 2012.</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Of the overall $31.5 million increase in revenues, $31.0 million was attributable to our full-time billable consultants and $0.5 million was attributable to our full-time equivalents. The increase in demand for our services reflected the increased pressures our clients face as the result of evolving business models, rising costs, and declining reimbursements from government and commercial payers. The increase in full-time billable consultant revenues reflected increases in the average number of full-time billable consultants, average billing rate and consultant utilization rate. Performance-based fee revenues were $36.4 million during the first half of 2013 compared to $29.4 million during the first half of 2012. Performance-based fee engagements may cause significant variations in quarterly revenues, operating results and average billing rates due to the timing of achievement of the performance-based criteria. With regard to our full-time equivalents, this segment experienced an increase in revenue per full-time equivalent, partially offset by a decrease in the average number of full-time equivalents during the first half of 2013 compared to the same period of 2012.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Huron Healthcare segment operating income increased $24.8 million, or 68.9%, to $60.7 million in the six months ended June 30, 2013 from $35.9 million in the six months ended June 30, 2012. The Huron Healthcare segment operating margin, defined as segment operating income expressed as a percentage of segment revenues, increased to 38.5% for the first half of 2013 from 28.5% in the same period last year. The increase in this segment’s operating margin was primarily attributable to a decrease in salaries, bonuses and related expenses for our revenue-generating professionals as a percentage of revenues, and decreases in technology expense, legal expense, intangible asset amortization expense, contractor expense and training expense during the period.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Legal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Huron Legal segment revenues decreased $1.3 million, or 1.4%, to $86.0 million for the first half of 2013 from $87.3 million for the first half of 2012. Revenues for the first half of 2013 included $9.6 million from our acquisition of AdamsGrayon that occurred in the second half of 2012, while revenues for the first half of 2012 did not include any revenue from AdamsGrayson. Revenues from time-and-expense engagements, fixed-fee engagements and software support and maintenance arrangements represented 95.0%, 4.7% and 0.3%, respectively, of this segment’s revenues during the six months ended June 30, 2013. Revenues from time-and-expense engagements and fixed-fee engagements represented 95.8% and 4.2%, respectively, of this segment’s revenues during the six months ended June 30, 2012.</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Of the overall $1.3 million decrease in revenues, $2.1 million was attributable to a decrease in revenues generated by our full-time billable consultants, partially offset by a $0.8 million increase in revenue generated by our full-time equivalents. The overall decrease in revenues reflected a decrease in demand for our advisory services, and relatively flat demand for our document review and electronic data discovery services, which included the AdamsGrayson related revenues noted above. The decrease in full-time billable consultant revenue reflected lower consultant utilization and average billing rates, slightly offset by an increase in the average number of full-time billable consultants. The increase in revenue attributable to our full-time equivalents was driven by an increase in the average number of full-time equivalents, partially offset by a decrease in average revenue per full-time equivalent.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Huron Legal segment operating income decreased by $8.3 million, or 37.6%, to $13.7 million in the six months ended June 30, 2013 from $22.0 million in the six months ended June 30, 2012. Segment operating margin decreased to 16.0% for the first half of 2013 from 25.2% in the same period last year. The decrease in this segment’s operating margin was primarily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attributable to increases in salaries, bonuses and related expenses for both our revenue-generating professionals and support personnel, as well as increases in technology expense, restructuring expense, severance expense, and promotion and sponsorship expenses, largely offset by a decrease in contractor expense as a percentage of revenues.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Education and Life Sciences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Huron Education and Life Sciences segment revenues increased $13.4 million, or 22.4%, to $72.9 million for the first half of 2013 from $59.5 million for the first half of 2012. Revenues from time-and-expense engagements, fixed-fee engagements and software support and maintenance arrangements represented 79.6%, 16.6% and 3.8% of this segment’s revenues during the six months ended June 30, 2013, respectively, compared to 73.4%, 22.5% and 4.1%, respectively, for the comparable period in 2012.</w:t>
      </w:r>
    </w:p>
    <w:p>
      <w:pPr>
        <w:spacing w:after="0" w:line="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Of the overall $13.4 million increase in revenues, $10.4 million was attributable to our full-time billable consultants and $3.0 million was related to our full-time equivalents. The overall increase in demand for our services in the Huron Education and Life Sciences segment reflected the increased competitive pressures faced by our clients as the result of increased regulation, rising costs, and declining funding. The increase in revenues from our full-time billable consultants reflected increases in the average number of full-time billable consultants and the average billing rate, partially offset by a decrease in the consultant utilization rate. The increase in revenue attributable to our full-time equivalents was driven by an increase in the average number of full-time equivalents, partially offset by a decrease in the average revenue per full-time equivalent.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Huron Education and Life Sciences segment operating income increased $5.3 million, or 33.6%, to $20.9 million in the six months ended June 30, 2013 from $15.6 million in the six months ended June 30, 2012. The Huron Education and Life Sciences segment operating margin, defined as segment operating income expressed as a percentage of segment revenues, increased to 28.7% for the first half of 2013 from 26.3% in the same period last year. The increase in this segment’s operating margin was primarily attributable to decreases in salaries, bonuses and related expenses for both our revenue-generating professionals and support personnel as a percentage of revenues, and decreases in sponsorships and promotion expenses, intangible asset amortization expense, training costs and practice administration and meeting expenses, partially offset by an increase in contractor expense as a percentage of revenues.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Financial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Huron Financial segment revenues increased $7.7 million, or 76.1%, to $17.8 million for the first half of 2013 from $10.1 million for the first half of 2012. Revenues from time-and-expense engagements, fixed-fee engagements and performance-based arrangements represented 79.3%, 17.9% and 2.8%, respectively, of this segment’s revenues during the first half of 2013. Revenues from time-and-expense engagements and fixed-fee engagements represented 76.4% and 23.6%, respectively, for the comparable period in 2012.</w:t>
      </w:r>
    </w:p>
    <w:p>
      <w:pPr>
        <w:spacing w:after="0" w:line="14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Of the overall $7.7 million increase in revenues, $7.4 million was attributable to our full-time billable consultants and $0.3 million was attributable to our full-time equivalents. The increase in revenues from our full-time billable consultants reflected an increase in the consultant utilization rate and average billing rate, partially offset by a decrease in the average number of full-time billable consultants. The increase in revenue attributable to our full-time equivalents was driven by an increase in the average revenue per full-time equivalent. The overall increase in revenues is attributable to an increase in demand for our restructuring and turnaround and operational improvement consulting services. The increased demand within this segment is partially a result of the initiatives we undertook during 2012, including broadening our service offerings and increasing marketing efforts, which were intended to increase demand for our services and improve the segment’s financial performance. While we believe that this segment will continue to grow, we expect the year-over-year revenue growth rate will moderate during the second half of the year as certain large engagements begin to wind down.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Huron Financial segment operating income increased by $7.4 million to $7.3 million in the six months ended June 30, 2013 compared to a loss of $0.1 million in the six months ended June 30, 2012. Segment operating margin increased to 41.1% for the first half of 2013 from a negative 1.0% in the same period last year. The increase in this segment’s operating margin was primarily attributable to a decrease in salaries, bonuses and related expenses for our revenue-generating professionals as a percentage of revenues.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Cash and cash equivalents decreased $20.6 million, from $25.2 million at December 31, 2012 to $4.6 million at June 30, 2013. Our primary sources of liquidity are cash flows from operations and debt capacity available under our credit facility.</w:t>
      </w:r>
    </w:p>
    <w:p>
      <w:pPr>
        <w:spacing w:after="0" w:line="166" w:lineRule="exact"/>
        <w:rPr>
          <w:sz w:val="20"/>
          <w:szCs w:val="20"/>
          <w:color w:val="auto"/>
        </w:rPr>
      </w:pPr>
    </w:p>
    <w:tbl>
      <w:tblPr>
        <w:tblLayout w:type="fixed"/>
        <w:tblInd w:w="700" w:type="dxa"/>
        <w:tblCellMar>
          <w:top w:w="0" w:type="dxa"/>
          <w:left w:w="0" w:type="dxa"/>
          <w:bottom w:w="0" w:type="dxa"/>
          <w:right w:w="0" w:type="dxa"/>
        </w:tblCellMar>
      </w:tblPr>
      <w:tr>
        <w:trPr>
          <w:trHeight w:val="229"/>
        </w:trPr>
        <w:tc>
          <w:tcPr>
            <w:tcW w:w="70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Cash Flows (in thousands):</w:t>
            </w:r>
          </w:p>
        </w:tc>
        <w:tc>
          <w:tcPr>
            <w:tcW w:w="340" w:type="dxa"/>
            <w:vAlign w:val="bottom"/>
          </w:tcPr>
          <w:p>
            <w:pPr>
              <w:spacing w:after="0"/>
              <w:rPr>
                <w:sz w:val="19"/>
                <w:szCs w:val="19"/>
                <w:color w:val="auto"/>
              </w:rPr>
            </w:pPr>
          </w:p>
        </w:tc>
        <w:tc>
          <w:tcPr>
            <w:tcW w:w="2660" w:type="dxa"/>
            <w:vAlign w:val="bottom"/>
            <w:gridSpan w:val="5"/>
          </w:tcPr>
          <w:p>
            <w:pPr>
              <w:ind w:left="8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11"/>
        </w:trPr>
        <w:tc>
          <w:tcPr>
            <w:tcW w:w="7040" w:type="dxa"/>
            <w:vAlign w:val="bottom"/>
            <w:gridSpan w:val="2"/>
            <w:vMerge w:val="continue"/>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1,838</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center"/>
              <w:ind w:left="52"/>
              <w:spacing w:after="0"/>
              <w:rPr>
                <w:sz w:val="20"/>
                <w:szCs w:val="20"/>
                <w:color w:val="auto"/>
              </w:rPr>
            </w:pPr>
            <w:r>
              <w:rPr>
                <w:rFonts w:ascii="Arial" w:cs="Arial" w:eastAsia="Arial" w:hAnsi="Arial"/>
                <w:sz w:val="18"/>
                <w:szCs w:val="18"/>
                <w:color w:val="auto"/>
                <w:w w:val="87"/>
              </w:rPr>
              <w:t>28,522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ind w:left="8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(11,282)</w:t>
            </w:r>
          </w:p>
        </w:tc>
        <w:tc>
          <w:tcPr>
            <w:tcW w:w="200" w:type="dxa"/>
            <w:vAlign w:val="bottom"/>
          </w:tcPr>
          <w:p>
            <w:pPr>
              <w:spacing w:after="0"/>
              <w:rPr>
                <w:sz w:val="18"/>
                <w:szCs w:val="18"/>
                <w:color w:val="auto"/>
              </w:rPr>
            </w:pP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tcPr>
          <w:p>
            <w:pPr>
              <w:jc w:val="center"/>
              <w:ind w:left="12"/>
              <w:spacing w:after="0"/>
              <w:rPr>
                <w:sz w:val="20"/>
                <w:szCs w:val="20"/>
                <w:color w:val="auto"/>
              </w:rPr>
            </w:pPr>
            <w:r>
              <w:rPr>
                <w:rFonts w:ascii="Arial" w:cs="Arial" w:eastAsia="Arial" w:hAnsi="Arial"/>
                <w:sz w:val="18"/>
                <w:szCs w:val="18"/>
                <w:color w:val="auto"/>
                <w:w w:val="89"/>
              </w:rPr>
              <w:t>(45,160)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Net cash (used in) provided by financing activities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(11,040)</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87"/>
              </w:rPr>
              <w:t>17,451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Net cash provided by operating activities totaled $1.8 million for the six months ended June 30, 2013 and $28.5 million for the same period last year. Our operating assets and liabilities consist primarily of receivables from billed and unbilled services, accounts payable and accrued expenses, and accrued payroll and related benefits. The volume of services rendered and the related billings and timing of collections on those billings, as well as payments of our accounts payable and salaries, bonuses and benefits to employees affect these account balances. The decrease in cash provided by operations in the first six months of 2013 compared to the first six months of 2012 was primarily attributable to decreased collections of receivables and unbilled services from clients and increased tax payments, partially offset by higher net income and lower bonus payments during the first half of 2013 when compared with the first half of 2012.</w:t>
      </w:r>
    </w:p>
    <w:p>
      <w:pPr>
        <w:spacing w:after="0" w:line="9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Net cash used in investing activities was $11.3 million and $45.2 million for the six months ended June 30, 2013 and 2012, respectively. The use of cash in the first six months of 2013 primarily consisted of purchases of property and equipment of $9.8 million compared to $11.8 million for the same period last year. The use of cash in the first six months of 2012 primarily consisted of payments for businesses acquired in prior periods totaling $32.2 million. These payments for acquired businesses were primarily comprised of additional purchase consideration earned by the selling shareholders of businesses that we acquired based on the achievement of financial performance targets as specified in the related purchase agreements. As of December 31, 2012, we had no further obligations under these arrangements. We estimate that the cash utilized for capital expenditures in 2013 will be approximately $24.0 million, primarily consisting of information technology related equipment and leasehold improvements to support continued growth of our document review and processing services, as well as information technology related equipment to support our corporate infrastructure.</w:t>
      </w:r>
    </w:p>
    <w:p>
      <w:pPr>
        <w:spacing w:after="0" w:line="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cash used in financing activities was $11.0 million for the six months ended June 30, 2013 compared to net cash provided by financing activities of $17.5 million for the same period last year. The increase in net cash used in financing activities for the first half of 2013 was primarily due to higher repayments, net of borrowings, under our credit facility during the period. Our financing activities during the first half of 2013 included a $0.5 million deferred acquisition payment related to a prior year acquisition.</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2011, the Company and certain of the Company’s subsidiaries as guarantors entered into an Amended and Restated Credit Agreement with various financial institutions, as amended by the first amendment to the credit agreement dated as of August 31, 2012 (collectively, the “2011 Credit Agreement”). The 2011 Credit Agreement replaced the previous Credit Agreement, dated as of June 7, 2006, and all subsequent amendments thereto, by and among the Company and the lenders therein.</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2011 Credit Agreement consists of a senior secured credit facility in an aggregate principal amount of $450.0 million comprised of a five-year revolving credit facility (“Revolver”) under which the Company may borrow from time to time up to $247.5 million and a $202.5 million five-year term loan facility (“Term Loan”) that was funded in a single advance on the closing date of the first amendment. The 2011 Credit Agreement provides for the option to increase the revolving credit facility in an aggregate amount of up to $50 million subject to certain requirements as defined in the 2011 Credit Agreement. The proceeds of the senior secured credit facility were used to refinance existing indebtedness and will continue to be used for working capital, capital expenditures, and other corporate purposes.</w:t>
      </w:r>
    </w:p>
    <w:p>
      <w:pPr>
        <w:spacing w:after="0" w:line="11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obligations under the 2011 Credit Agreement are secured pursuant to a Security Agreement with Bank of America as Administrative Agent. The Security Agreement grants Bank of America, N.A. for the ratable benefit of the lenders under the 2011 Credit Agreement, a first-priority lien, subject to permitted liens, on substantially all of the personal property assets of the Company and the subsidiary guarantors. The Revolver and Term Loan are also secured by a pledge of 100% of the voting stock or other equity interests in our domestic subsidiaries and 65% of the voting stock or other equity interests in our foreign subsidiaries.</w:t>
      </w:r>
    </w:p>
    <w:p>
      <w:pPr>
        <w:spacing w:after="0" w:line="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Fees and interest on borrowings vary based on our total debt to earnings before interest, taxes, depreciation and amortization (“EBITDA”) ratio as set forth in the 2011 Credit Agreement. Interest is based on a spread over the London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Interbank Offered Rate (“LIBOR”) or a spread over the base rate, as selected by the Company. The base rate is the greater of (a) the Federal Funds Rate plus 0.5%, (b) the Prime Rate and (c) except during a Eurodollar Unavailability Period, the Eurodollar Rate plus 1.0%.</w:t>
      </w:r>
    </w:p>
    <w:p>
      <w:pPr>
        <w:spacing w:after="0" w:line="10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Term Loan, as amended, is subject to scheduled quarterly amortization payments equal to 4.9% of the original principal balance in 2012, 11.7% in 2013, 12.4% in 2014, 14.2% in 2015, 14.8% in 2016 and 42.0% in 2017, as set forth in the 2011 Credit Agreement. The maturity date for the Term Loan is August 31, 2017, at which time the outstanding principal balance and all accrued interest will be due and payable in full. All outstanding borrowings under the Revolver, as amended, will be due upon expiration of the 2011 Credit Agreement on August 31, 2017. As of June 30, 2013, the Company has made all scheduled quarterly amortization payments as they have come due in accordance with the Term Loan.</w:t>
      </w:r>
    </w:p>
    <w:p>
      <w:pPr>
        <w:spacing w:after="0" w:line="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2011 Credit Agreement, dividends are restricted to an amount up to $50 million plus 50% of cumulative consolidated net income from the closing date of the 2011 Credit Agreement plus 50% of the net cash proceeds from equity issuances. In addition, certain acquisitions and similar transactions need to be approved by the lenders.</w:t>
      </w:r>
    </w:p>
    <w:p>
      <w:pPr>
        <w:spacing w:after="0" w:line="11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2011 Credit Agreement contains quarterly financial covenants that require us to maintain a minimum fixed charge coverage ratio of 2.25 to 1.00 and a maximum leverage ratio that varies throughout the term and was 3.00 to 1.00 as of June 30, 2013, as those ratios are defined therein, as well as a minimum net worth greater than $150 million. At June 30, 2013, we were in compliance with these financial covenants with a fixed charge coverage ratio of 4.19 to 1.00, a leverage ratio of 1.23 to 1.00, and net worth greater than $150 million. At December 31, 2012, we were also in compliance with these financial covenants.</w:t>
      </w:r>
    </w:p>
    <w:p>
      <w:pPr>
        <w:spacing w:after="0" w:line="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borrowing capacity under the 2011 Credit Agreement is reduced by any outstanding letters of credit and payments under the Term Loan. At June 30, 2013, outstanding letters of credit totaled $4.9 million and are primarily used as security deposits for our office facilities. As of June 30, 2013, the unused borrowing capacity under the 2011 Credit Agreement was $242.6 million. Borrowings outstanding under this credit facility at June 30, 2013 totaled $181.3 million, all of which was under the Term Loan. These borrowings carried a weighted average interest rate of 2.2%, including the effect of the interest rate swaps described in Note 9 “Derivative Instruments and Hedging Activity.” During the first six months of 2013, the average daily outstanding balance under our credit facility was $195.2 million. Borrowings outstanding at December 31, 2012 were $192.5 million and carried a weighted average interest rate of 2.5%. Effective March 31, 2013, we have classified as current liabilities the scheduled quarterly principal payments due under the Term Loan within twelve months of the balance sheet date, as we intend to make these payments with cash from operations rather than from availability under the Revolver.</w:t>
      </w:r>
    </w:p>
    <w:p>
      <w:pPr>
        <w:spacing w:after="0" w:line="9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See “Risk Factors” in our Annual Report on Form 10-K for the year ended December 31, 2012 for a discussion of certain risks and uncertainties related to the 2011 Credit Agreement.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Needs</w:t>
      </w:r>
    </w:p>
    <w:p>
      <w:pPr>
        <w:spacing w:after="0" w:line="9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primary financing need has been to fund our growth. Our growth strategy is to expand our service offerings, which may require investments in new hires, acquisitions of complementary businesses, possible expansion into other geographic areas, and related capital expenditures. We also have cash needs to service our credit facility and repay our Term Loan. We believe our internally generated liquidity, together with the borrowing capacity available under our revolving credit facility and access to external capital resources will be adequate to fund our long-term growth and capital needs arising from cash commitments and debt service obligations. Our ability to secure short-term and long-term financing in the future will depend on several factors, including our future profitability, the quality of our accounts receivable and unbilled services, our relative levels of debt and equity, and the overall condition of the credit markets.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For a summary of our commitments to make future payments under contractual obligations, see “Item 7. Management’s Discussion and Analysis of Financial Condition and Results of Operations – Contractual Obligations” in our Annual Report on Form 10-K for the year ended December 31, 2012. There have been no significant changes in our contractual obligations since December 31, 2012 except as described below:</w:t>
      </w:r>
    </w:p>
    <w:p>
      <w:pPr>
        <w:spacing w:after="0" w:line="26" w:lineRule="exact"/>
        <w:rPr>
          <w:sz w:val="20"/>
          <w:szCs w:val="20"/>
          <w:color w:val="auto"/>
        </w:rPr>
      </w:pPr>
    </w:p>
    <w:p>
      <w:pPr>
        <w:ind w:left="660" w:right="20" w:hanging="324"/>
        <w:spacing w:after="0" w:line="268" w:lineRule="auto"/>
        <w:rPr>
          <w:sz w:val="20"/>
          <w:szCs w:val="20"/>
          <w:color w:val="auto"/>
        </w:rPr>
      </w:pPr>
      <w:r>
        <w:rPr>
          <w:rFonts w:ascii="Arial" w:cs="Arial" w:eastAsia="Arial" w:hAnsi="Arial"/>
          <w:sz w:val="18"/>
          <w:szCs w:val="18"/>
          <w:color w:val="auto"/>
        </w:rPr>
        <w:t>— During the first six months of 2013, our long-term borrowings, including the current portion of long-term borrowings, decreased from $192.5 million as of December 31, 2012 to $181.3 million as of June 30, 2013.</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into any off-balance sheet arrangements.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February 2013, the FASB issued ASU No. 2013-02, Reporting of Amounts Reclassified Out of Accumulated Other Comprehensive Income, which amends current accounting guidance on comprehensive income. The guidance requires an entity to present, either on the face of the statement where net income is presented or in the notes, significant amounts reclassified out of accumulated other comprehensive income by the respective line items of net income if the amount is reclassified to net income in its entirety in the same reporting period. For other amounts not required to be reclassified in their entirety to net income in the same reporting period, a cross reference to other disclosures that provide additional detail about the reclassification amounts is required. The Company adopted this guidance effective January 1, 2013. The guidance required a change in disclosure only and did not have any effect on the Company’s consolidated financial statements.</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March 2013, the FASB issued ASU No. 2013-05, Parent’s Accounting for the Cumulative Translation Adjustment Upon Derecognition of Certain Subsidiaries or Groups of Assets Within a Foreign Entity or of an Investment in a Foreign Entity, which amends current accounting guidance on foreign currency matters. This guidance requires that the entire amount of a cumulative translation adjustment related to an entity’s investment in a foreign entity should be released when there has been a: (i) sale of a subsidiary or group of net assets within a foreign entity and the sale represents the substantially complete liquidation of the investment in the foreign entity, (ii) loss of a controlling financial interest in an investment in a foreign entity, and (iii) step acquisition for a foreign entity. This guidance will be effective for the Company beginning in the first quarter of 2014. We do not expect the adoption to have a material impact on our consolidated financial statements.</w:t>
      </w:r>
    </w:p>
    <w:p>
      <w:pPr>
        <w:spacing w:after="0" w:line="18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market risks primarily from changes in interest rates and changes in the market value of our investments.</w:t>
      </w:r>
    </w:p>
    <w:p>
      <w:pPr>
        <w:spacing w:after="0" w:line="14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exposure to changes in interest rates is limited to borrowings under our bank credit facility, which has variable interest rates tied to the LIBOR, Federal Funds Rate, Prime Rate, or Eurodollar Rate. At June 30, 2013, we had borrowings outstanding totaling $181.3 million that carried a weighted average interest rate of 2.2% including the effect of the interest rate swaps described below. A hypothetical 100 basis point change in this interest rate would have a $1.0 million effect on our pretax income including the effect of the interest rate swaps described below.</w:t>
      </w:r>
    </w:p>
    <w:p>
      <w:pPr>
        <w:spacing w:after="0" w:line="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On December 8, 2011, we entered into a forward amortizing interest rate swap agreement effective on February 29, 2012 and ending on April 14, 2016. We entered into this derivative instrument to hedge against the interest rate risks of our variable-rate borrowings described above. The swap had an initial notional amount of $56.6 million and amortizes throughout the term. Under the terms of the interest rate swap agreement, we receive from the counterparty interest on the notional amount based on one-month LIBOR and we pay to the counterparty a fixed rate of 0.9875%.</w:t>
      </w:r>
    </w:p>
    <w:p>
      <w:pPr>
        <w:spacing w:after="0" w:line="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On May 30, 2012, we entered into an additional forward amortizing interest rate swap agreement effective on May 31, 2012 and ending on April 14, 2016. We entered into this derivative instrument to further hedge against the interest rate risks of our variable-rate borrowings described above. The swap had an initial notional amount of $37.0 million and amortizes throughout the term. Under the terms of the interest rate swap agreement, we receive from the counterparty interest on the notional amount based on one-month LIBOR and we pay to the counterparty a fixed rate of 0.70%.</w:t>
      </w:r>
    </w:p>
    <w:p>
      <w:pPr>
        <w:spacing w:after="0" w:line="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Including the impact of the above swap agreements, the effective interest rate on $79.4 million of our debt, which equals the notional amount of the swap agreements in effect at June 30, 2013, was 2.6%.</w:t>
      </w:r>
    </w:p>
    <w:p>
      <w:pPr>
        <w:spacing w:after="0" w:line="1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4, 2013, we entered into a one-year forward amortizing interest rate swap agreement effective on March 31, 2014 and ending on August 31, 2017. We entered into this derivative instrument to further hedge against the interest rate risks of our variable-rate borrowings described above. The swap has an initial notional amount of $60.0 million and amortizes such that we are effectively hedging 80% of our variable-rate borrowings throughout the term. Under the terms of the interest rate swap agreement, we will receive from the counterparty interest on the notional amount based on one-month LIBOR and we will pay to the counterparty a fixed rate of 0.985%.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into any other interest rate swaps, caps or collars or other hedging instruments as of June 30, 2013.</w:t>
      </w:r>
    </w:p>
    <w:p>
      <w:pPr>
        <w:spacing w:after="0" w:line="14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From time to time, we invest excess cash in marketable securities. These investments principally consist of overnight sweep accounts. Due to the short maturity of our investments, we have concluded that we do not have material market risk exposure.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June 30, 2013. Based on this evaluation, our Chief Executive Officer and Chief Financial Officer have concluded that, as of June 30, 2013,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Control over Financial Reporting</w:t>
      </w:r>
    </w:p>
    <w:p>
      <w:pPr>
        <w:spacing w:after="0" w:line="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that occurred during the three months ended June 30, 2013 that has materially affected, or is reasonably likely to materially affect, our internal control over financial reporting.</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9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Qui Tam Action</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On December 9, 2009, plaintiff, Associates Against Outlier Fraud, filed a first amended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complaint against Huron Consulting Group Inc. and others under the federal and New York state False Claims Act (“FCA”) in the United States District Court for the Southern District of New York. The federal and state FCA authorize private individuals (known as “relators”) to sue on behalf of the government (known as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alleging that false or fraudulent claims were knowingly submitted to the government. Once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is filed, the government may elect to intervene in the action. If the government declines to intervene, the relator may proceed with the action. Under the federal and state FCA, the government may recover treble damages and civil penalties (civil penalties of up to $11,000 per violation under the federal FCA and $12,000 per violation under the state FCA). On January 6, 2010, the United States declined to intervene in the lawsuit. After the Court granted Huron’s motion to dismiss without prejudice, on September 29, 2010, the relator filed a second amended complaint alleging that Huron and others caused St. Vincent Catholic Medical Center to receive more than $30 million in inflated outlier payments under the Medicare and Medicaid programs in violation of the federal and state FCA and seeking to recover an unspecified amount of civil penalties. On March 8, 2013, the Court granted Huron’s motion for summary judgment and dismissed the relator’s second amended complaint in its entirety with prejudice. As a result, we reversed the charge of $1.2 million relating to settlement discussions which we recorded in the second quarter of 2012, in accordance with FASB ASC Topic 450, “Contingencies.” The relator filed an appeal on April 2, 2013. On April 8, 2013, Huron filed an appeal of an earlier denial of a motion to dismiss filed by Huron which argued that the relator’s action was barred because, under the FCA jurisdictional bar, the action was based on publicly disclosed information and the relator cannot qualify as an original source. We continue to believe that the claims are without merit and intend to vigorously defend ourselves in this matter.</w:t>
      </w:r>
    </w:p>
    <w:p>
      <w:pPr>
        <w:spacing w:after="0" w:line="12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or threatened with any other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17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See “Risk Factors” in our 2012 Annual Report on Form 10-K for a complete description of the material risks we face.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2012 Omnibus Incentive Plan and our 2004 Omnibus Stock Plan, which was replaced by the 2012 Omnibus Incentive Plan, permit the netting of common stock upon vesting of restricted stock awards to satisfy individual tax withholding requirements. During the quarter ended June 30, 2013, we reacquired 405 shares of common stock with a weighted average fair market value of $40.32 as a result of such tax withholdings as presented in the table below. We do not have any publicly announced share repurchase plans or programs.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3"/>
              </w:rPr>
              <w:t>Maximum</w:t>
            </w:r>
          </w:p>
        </w:tc>
      </w:tr>
      <w:tr>
        <w:trPr>
          <w:trHeight w:val="216"/>
        </w:trPr>
        <w:tc>
          <w:tcPr>
            <w:tcW w:w="38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9"/>
              </w:rPr>
              <w:t>Total Number of</w:t>
            </w:r>
          </w:p>
        </w:tc>
        <w:tc>
          <w:tcPr>
            <w:tcW w:w="1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89"/>
              </w:rPr>
              <w:t>Total Number of</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7"/>
              </w:rPr>
              <w:t>Number of Shares</w:t>
            </w:r>
          </w:p>
        </w:tc>
      </w:tr>
      <w:tr>
        <w:trPr>
          <w:trHeight w:val="216"/>
        </w:trPr>
        <w:tc>
          <w:tcPr>
            <w:tcW w:w="38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8"/>
              </w:rPr>
              <w:t>Shares Withheld to</w:t>
            </w:r>
          </w:p>
        </w:tc>
        <w:tc>
          <w:tcPr>
            <w:tcW w:w="1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Average Fair</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84"/>
              </w:rPr>
              <w:t>Shares Purchased</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9"/>
              </w:rPr>
              <w:t>that May Yet Be</w:t>
            </w:r>
          </w:p>
        </w:tc>
      </w:tr>
      <w:tr>
        <w:trPr>
          <w:trHeight w:val="216"/>
        </w:trPr>
        <w:tc>
          <w:tcPr>
            <w:tcW w:w="38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5"/>
              </w:rPr>
              <w:t>Satisfy Employee</w:t>
            </w:r>
          </w:p>
        </w:tc>
        <w:tc>
          <w:tcPr>
            <w:tcW w:w="1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Market Value</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88"/>
              </w:rPr>
              <w:t>as Part of Publicly</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8"/>
              </w:rPr>
              <w:t>Purchased Under</w:t>
            </w:r>
          </w:p>
        </w:tc>
      </w:tr>
      <w:tr>
        <w:trPr>
          <w:trHeight w:val="216"/>
        </w:trPr>
        <w:tc>
          <w:tcPr>
            <w:tcW w:w="38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1"/>
              </w:rPr>
              <w:t>Tax Withholding</w:t>
            </w:r>
          </w:p>
        </w:tc>
        <w:tc>
          <w:tcPr>
            <w:tcW w:w="1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Per Share</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86"/>
              </w:rPr>
              <w:t>Announced Plans</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5"/>
              </w:rPr>
              <w:t>the Plans or</w:t>
            </w:r>
          </w:p>
        </w:tc>
      </w:tr>
      <w:tr>
        <w:trPr>
          <w:trHeight w:val="251"/>
        </w:trPr>
        <w:tc>
          <w:tcPr>
            <w:tcW w:w="38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Period</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Requirements</w:t>
            </w: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Withheld</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or Programs</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Programs</w:t>
            </w:r>
          </w:p>
        </w:tc>
      </w:tr>
      <w:tr>
        <w:trPr>
          <w:trHeight w:val="216"/>
        </w:trPr>
        <w:tc>
          <w:tcPr>
            <w:tcW w:w="3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April 2013</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405</w:t>
            </w: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40.32</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r>
      <w:tr>
        <w:trPr>
          <w:trHeight w:val="216"/>
        </w:trPr>
        <w:tc>
          <w:tcPr>
            <w:tcW w:w="3800" w:type="dxa"/>
            <w:vAlign w:val="bottom"/>
          </w:tcPr>
          <w:p>
            <w:pPr>
              <w:ind w:left="100"/>
              <w:spacing w:after="0"/>
              <w:rPr>
                <w:sz w:val="20"/>
                <w:szCs w:val="20"/>
                <w:color w:val="auto"/>
              </w:rPr>
            </w:pPr>
            <w:r>
              <w:rPr>
                <w:rFonts w:ascii="Arial" w:cs="Arial" w:eastAsia="Arial" w:hAnsi="Arial"/>
                <w:sz w:val="18"/>
                <w:szCs w:val="18"/>
                <w:color w:val="auto"/>
              </w:rPr>
              <w:t>May 2013</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480" w:type="dxa"/>
            <w:vAlign w:val="bottom"/>
          </w:tcPr>
          <w:p>
            <w:pPr>
              <w:spacing w:after="0"/>
              <w:rPr>
                <w:sz w:val="18"/>
                <w:szCs w:val="18"/>
                <w:color w:val="auto"/>
              </w:rPr>
            </w:pPr>
          </w:p>
        </w:tc>
        <w:tc>
          <w:tcPr>
            <w:tcW w:w="104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86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172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16"/>
        </w:trPr>
        <w:tc>
          <w:tcPr>
            <w:tcW w:w="3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June 2013</w:t>
            </w:r>
          </w:p>
        </w:tc>
        <w:tc>
          <w:tcPr>
            <w:tcW w:w="1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4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N/A</w:t>
            </w:r>
          </w:p>
        </w:tc>
      </w:tr>
      <w:tr>
        <w:trPr>
          <w:trHeight w:val="222"/>
        </w:trPr>
        <w:tc>
          <w:tcPr>
            <w:tcW w:w="3800" w:type="dxa"/>
            <w:vAlign w:val="bottom"/>
          </w:tcPr>
          <w:p>
            <w:pPr>
              <w:ind w:left="100"/>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405</w:t>
            </w: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40.32</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N/A</w:t>
            </w:r>
          </w:p>
        </w:tc>
      </w:tr>
      <w:tr>
        <w:trPr>
          <w:trHeight w:val="20"/>
        </w:trPr>
        <w:tc>
          <w:tcPr>
            <w:tcW w:w="38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94361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N/A – Not applicable.</w:t>
      </w:r>
    </w:p>
    <w:p>
      <w:pPr>
        <w:spacing w:after="0" w:line="2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6"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following exhibits are filed as part of this Quarterly Report on Form 10-Q.</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c>
          <w:tcPr>
            <w:tcW w:w="10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1"/>
              </w:rPr>
              <w:t>Incorporated by Reference</w:t>
            </w:r>
          </w:p>
        </w:tc>
        <w:tc>
          <w:tcPr>
            <w:tcW w:w="640" w:type="dxa"/>
            <w:vAlign w:val="bottom"/>
            <w:tcBorders>
              <w:bottom w:val="single" w:sz="8" w:color="auto"/>
            </w:tcBorders>
          </w:tcPr>
          <w:p>
            <w:pPr>
              <w:spacing w:after="0"/>
              <w:rPr>
                <w:sz w:val="20"/>
                <w:szCs w:val="20"/>
                <w:color w:val="auto"/>
              </w:rPr>
            </w:pPr>
          </w:p>
        </w:tc>
      </w:tr>
      <w:tr>
        <w:trPr>
          <w:trHeight w:val="195"/>
        </w:trPr>
        <w:tc>
          <w:tcPr>
            <w:tcW w:w="980" w:type="dxa"/>
            <w:vAlign w:val="bottom"/>
          </w:tcPr>
          <w:p>
            <w:pPr>
              <w:ind w:left="100"/>
              <w:spacing w:after="0" w:line="195" w:lineRule="exact"/>
              <w:rPr>
                <w:sz w:val="20"/>
                <w:szCs w:val="20"/>
                <w:color w:val="auto"/>
              </w:rPr>
            </w:pPr>
            <w:r>
              <w:rPr>
                <w:rFonts w:ascii="Arial" w:cs="Arial" w:eastAsia="Arial" w:hAnsi="Arial"/>
                <w:sz w:val="18"/>
                <w:szCs w:val="18"/>
                <w:b w:val="1"/>
                <w:bCs w:val="1"/>
                <w:color w:val="auto"/>
              </w:rPr>
              <w:t>Exhibit</w:t>
            </w:r>
          </w:p>
        </w:tc>
        <w:tc>
          <w:tcPr>
            <w:tcW w:w="5200" w:type="dxa"/>
            <w:vAlign w:val="bottom"/>
          </w:tcPr>
          <w:p>
            <w:pPr>
              <w:spacing w:after="0"/>
              <w:rPr>
                <w:sz w:val="16"/>
                <w:szCs w:val="16"/>
                <w:color w:val="auto"/>
              </w:rPr>
            </w:pPr>
          </w:p>
        </w:tc>
        <w:tc>
          <w:tcPr>
            <w:tcW w:w="66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86"/>
              </w:rPr>
              <w:t>here-</w:t>
            </w:r>
          </w:p>
        </w:tc>
        <w:tc>
          <w:tcPr>
            <w:tcW w:w="102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87"/>
              </w:rPr>
              <w:t>Furnished</w:t>
            </w:r>
          </w:p>
        </w:tc>
        <w:tc>
          <w:tcPr>
            <w:tcW w:w="720" w:type="dxa"/>
            <w:vAlign w:val="bottom"/>
          </w:tcPr>
          <w:p>
            <w:pPr>
              <w:spacing w:after="0"/>
              <w:rPr>
                <w:sz w:val="16"/>
                <w:szCs w:val="16"/>
                <w:color w:val="auto"/>
              </w:rPr>
            </w:pPr>
          </w:p>
        </w:tc>
        <w:tc>
          <w:tcPr>
            <w:tcW w:w="106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89"/>
              </w:rPr>
              <w:t>Period</w:t>
            </w:r>
          </w:p>
        </w:tc>
        <w:tc>
          <w:tcPr>
            <w:tcW w:w="1140" w:type="dxa"/>
            <w:vAlign w:val="bottom"/>
          </w:tcPr>
          <w:p>
            <w:pPr>
              <w:spacing w:after="0"/>
              <w:rPr>
                <w:sz w:val="16"/>
                <w:szCs w:val="16"/>
                <w:color w:val="auto"/>
              </w:rPr>
            </w:pPr>
          </w:p>
        </w:tc>
        <w:tc>
          <w:tcPr>
            <w:tcW w:w="64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1"/>
              </w:rPr>
              <w:t>Filing</w:t>
            </w:r>
          </w:p>
        </w:tc>
      </w:tr>
      <w:tr>
        <w:trPr>
          <w:trHeight w:val="229"/>
        </w:trPr>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Number</w:t>
            </w:r>
          </w:p>
        </w:tc>
        <w:tc>
          <w:tcPr>
            <w:tcW w:w="52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Exhibit Description</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with</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herewith</w:t>
            </w:r>
          </w:p>
        </w:tc>
        <w:tc>
          <w:tcPr>
            <w:tcW w:w="7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Form</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Ending</w:t>
            </w: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Exhibit</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Date</w:t>
            </w:r>
          </w:p>
        </w:tc>
      </w:tr>
      <w:tr>
        <w:trPr>
          <w:trHeight w:val="216"/>
        </w:trPr>
        <w:tc>
          <w:tcPr>
            <w:tcW w:w="980" w:type="dxa"/>
            <w:vAlign w:val="bottom"/>
          </w:tcPr>
          <w:p>
            <w:pPr>
              <w:ind w:left="100"/>
              <w:spacing w:after="0"/>
              <w:rPr>
                <w:sz w:val="20"/>
                <w:szCs w:val="20"/>
                <w:color w:val="auto"/>
              </w:rPr>
            </w:pPr>
            <w:r>
              <w:rPr>
                <w:rFonts w:ascii="Arial" w:cs="Arial" w:eastAsia="Arial" w:hAnsi="Arial"/>
                <w:sz w:val="18"/>
                <w:szCs w:val="18"/>
                <w:color w:val="auto"/>
              </w:rPr>
              <w:t>31.1</w:t>
            </w:r>
          </w:p>
        </w:tc>
        <w:tc>
          <w:tcPr>
            <w:tcW w:w="5200" w:type="dxa"/>
            <w:vAlign w:val="bottom"/>
          </w:tcPr>
          <w:p>
            <w:pPr>
              <w:ind w:left="240"/>
              <w:spacing w:after="0"/>
              <w:rPr>
                <w:sz w:val="20"/>
                <w:szCs w:val="20"/>
                <w:color w:val="auto"/>
              </w:rPr>
            </w:pPr>
            <w:r>
              <w:rPr>
                <w:rFonts w:ascii="Arial" w:cs="Arial" w:eastAsia="Arial" w:hAnsi="Arial"/>
                <w:sz w:val="18"/>
                <w:szCs w:val="18"/>
                <w:color w:val="auto"/>
                <w:w w:val="95"/>
              </w:rPr>
              <w:t>Certification of the Chief Executive Officer, pursuant to Rule 13a-</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5200" w:type="dxa"/>
            <w:vAlign w:val="bottom"/>
          </w:tcPr>
          <w:p>
            <w:pPr>
              <w:ind w:left="240"/>
              <w:spacing w:after="0"/>
              <w:rPr>
                <w:sz w:val="20"/>
                <w:szCs w:val="20"/>
                <w:color w:val="auto"/>
              </w:rPr>
            </w:pPr>
            <w:r>
              <w:rPr>
                <w:rFonts w:ascii="Arial" w:cs="Arial" w:eastAsia="Arial" w:hAnsi="Arial"/>
                <w:sz w:val="18"/>
                <w:szCs w:val="18"/>
                <w:color w:val="auto"/>
                <w:w w:val="88"/>
              </w:rPr>
              <w:t>14(a)/15d-14(a), as adopted pursuant to Section 302 of the Sarbanes-</w:t>
            </w: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980" w:type="dxa"/>
            <w:vAlign w:val="bottom"/>
          </w:tcPr>
          <w:p>
            <w:pPr>
              <w:spacing w:after="0"/>
              <w:rPr>
                <w:sz w:val="19"/>
                <w:szCs w:val="19"/>
                <w:color w:val="auto"/>
              </w:rPr>
            </w:pPr>
          </w:p>
        </w:tc>
        <w:tc>
          <w:tcPr>
            <w:tcW w:w="5200" w:type="dxa"/>
            <w:vAlign w:val="bottom"/>
          </w:tcPr>
          <w:p>
            <w:pPr>
              <w:ind w:left="240"/>
              <w:spacing w:after="0"/>
              <w:rPr>
                <w:sz w:val="20"/>
                <w:szCs w:val="20"/>
                <w:color w:val="auto"/>
              </w:rPr>
            </w:pPr>
            <w:r>
              <w:rPr>
                <w:rFonts w:ascii="Arial" w:cs="Arial" w:eastAsia="Arial" w:hAnsi="Arial"/>
                <w:sz w:val="18"/>
                <w:szCs w:val="18"/>
                <w:color w:val="auto"/>
              </w:rPr>
              <w:t>Oxley Act of 2002.</w:t>
            </w: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466"/>
        </w:trPr>
        <w:tc>
          <w:tcPr>
            <w:tcW w:w="980" w:type="dxa"/>
            <w:vAlign w:val="bottom"/>
          </w:tcPr>
          <w:p>
            <w:pPr>
              <w:ind w:left="100"/>
              <w:spacing w:after="0"/>
              <w:rPr>
                <w:sz w:val="20"/>
                <w:szCs w:val="20"/>
                <w:color w:val="auto"/>
              </w:rPr>
            </w:pPr>
            <w:r>
              <w:rPr>
                <w:rFonts w:ascii="Arial" w:cs="Arial" w:eastAsia="Arial" w:hAnsi="Arial"/>
                <w:sz w:val="18"/>
                <w:szCs w:val="18"/>
                <w:color w:val="auto"/>
              </w:rPr>
              <w:t>31.2</w:t>
            </w:r>
          </w:p>
        </w:tc>
        <w:tc>
          <w:tcPr>
            <w:tcW w:w="5200" w:type="dxa"/>
            <w:vAlign w:val="bottom"/>
          </w:tcPr>
          <w:p>
            <w:pPr>
              <w:ind w:left="240"/>
              <w:spacing w:after="0"/>
              <w:rPr>
                <w:sz w:val="20"/>
                <w:szCs w:val="20"/>
                <w:color w:val="auto"/>
              </w:rPr>
            </w:pPr>
            <w:r>
              <w:rPr>
                <w:rFonts w:ascii="Arial" w:cs="Arial" w:eastAsia="Arial" w:hAnsi="Arial"/>
                <w:sz w:val="18"/>
                <w:szCs w:val="18"/>
                <w:color w:val="auto"/>
                <w:w w:val="96"/>
              </w:rPr>
              <w:t>Certification of the Chief Financial Officer, pursuant to Rule 13a-</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6"/>
        </w:trPr>
        <w:tc>
          <w:tcPr>
            <w:tcW w:w="980" w:type="dxa"/>
            <w:vAlign w:val="bottom"/>
          </w:tcPr>
          <w:p>
            <w:pPr>
              <w:spacing w:after="0"/>
              <w:rPr>
                <w:sz w:val="18"/>
                <w:szCs w:val="18"/>
                <w:color w:val="auto"/>
              </w:rPr>
            </w:pPr>
          </w:p>
        </w:tc>
        <w:tc>
          <w:tcPr>
            <w:tcW w:w="5200" w:type="dxa"/>
            <w:vAlign w:val="bottom"/>
          </w:tcPr>
          <w:p>
            <w:pPr>
              <w:ind w:left="240"/>
              <w:spacing w:after="0"/>
              <w:rPr>
                <w:sz w:val="20"/>
                <w:szCs w:val="20"/>
                <w:color w:val="auto"/>
              </w:rPr>
            </w:pPr>
            <w:r>
              <w:rPr>
                <w:rFonts w:ascii="Arial" w:cs="Arial" w:eastAsia="Arial" w:hAnsi="Arial"/>
                <w:sz w:val="18"/>
                <w:szCs w:val="18"/>
                <w:color w:val="auto"/>
                <w:w w:val="88"/>
              </w:rPr>
              <w:t>14(a)/15d-14(a), as adopted pursuant to Section 302 of the Sarbanes-</w:t>
            </w: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980" w:type="dxa"/>
            <w:vAlign w:val="bottom"/>
          </w:tcPr>
          <w:p>
            <w:pPr>
              <w:spacing w:after="0"/>
              <w:rPr>
                <w:sz w:val="19"/>
                <w:szCs w:val="19"/>
                <w:color w:val="auto"/>
              </w:rPr>
            </w:pPr>
          </w:p>
        </w:tc>
        <w:tc>
          <w:tcPr>
            <w:tcW w:w="5200" w:type="dxa"/>
            <w:vAlign w:val="bottom"/>
          </w:tcPr>
          <w:p>
            <w:pPr>
              <w:ind w:left="240"/>
              <w:spacing w:after="0"/>
              <w:rPr>
                <w:sz w:val="20"/>
                <w:szCs w:val="20"/>
                <w:color w:val="auto"/>
              </w:rPr>
            </w:pPr>
            <w:r>
              <w:rPr>
                <w:rFonts w:ascii="Arial" w:cs="Arial" w:eastAsia="Arial" w:hAnsi="Arial"/>
                <w:sz w:val="18"/>
                <w:szCs w:val="18"/>
                <w:color w:val="auto"/>
              </w:rPr>
              <w:t>Oxley Act of 2002.</w:t>
            </w: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466"/>
        </w:trPr>
        <w:tc>
          <w:tcPr>
            <w:tcW w:w="980" w:type="dxa"/>
            <w:vAlign w:val="bottom"/>
          </w:tcPr>
          <w:p>
            <w:pPr>
              <w:ind w:left="100"/>
              <w:spacing w:after="0"/>
              <w:rPr>
                <w:sz w:val="20"/>
                <w:szCs w:val="20"/>
                <w:color w:val="auto"/>
              </w:rPr>
            </w:pPr>
            <w:r>
              <w:rPr>
                <w:rFonts w:ascii="Arial" w:cs="Arial" w:eastAsia="Arial" w:hAnsi="Arial"/>
                <w:sz w:val="18"/>
                <w:szCs w:val="18"/>
                <w:color w:val="auto"/>
              </w:rPr>
              <w:t>32.1</w:t>
            </w:r>
          </w:p>
        </w:tc>
        <w:tc>
          <w:tcPr>
            <w:tcW w:w="5200" w:type="dxa"/>
            <w:vAlign w:val="bottom"/>
          </w:tcPr>
          <w:p>
            <w:pPr>
              <w:ind w:left="240"/>
              <w:spacing w:after="0"/>
              <w:rPr>
                <w:sz w:val="20"/>
                <w:szCs w:val="20"/>
                <w:color w:val="auto"/>
              </w:rPr>
            </w:pPr>
            <w:r>
              <w:rPr>
                <w:rFonts w:ascii="Arial" w:cs="Arial" w:eastAsia="Arial" w:hAnsi="Arial"/>
                <w:sz w:val="18"/>
                <w:szCs w:val="18"/>
                <w:color w:val="auto"/>
                <w:w w:val="95"/>
              </w:rPr>
              <w:t>Certification of the Chief Executive Officer, pursuant to 18 U.S.C.</w:t>
            </w:r>
          </w:p>
        </w:tc>
        <w:tc>
          <w:tcPr>
            <w:tcW w:w="6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6"/>
        </w:trPr>
        <w:tc>
          <w:tcPr>
            <w:tcW w:w="980" w:type="dxa"/>
            <w:vAlign w:val="bottom"/>
          </w:tcPr>
          <w:p>
            <w:pPr>
              <w:spacing w:after="0"/>
              <w:rPr>
                <w:sz w:val="18"/>
                <w:szCs w:val="18"/>
                <w:color w:val="auto"/>
              </w:rPr>
            </w:pPr>
          </w:p>
        </w:tc>
        <w:tc>
          <w:tcPr>
            <w:tcW w:w="5200" w:type="dxa"/>
            <w:vAlign w:val="bottom"/>
          </w:tcPr>
          <w:p>
            <w:pPr>
              <w:ind w:left="240"/>
              <w:spacing w:after="0"/>
              <w:rPr>
                <w:sz w:val="20"/>
                <w:szCs w:val="20"/>
                <w:color w:val="auto"/>
              </w:rPr>
            </w:pPr>
            <w:r>
              <w:rPr>
                <w:rFonts w:ascii="Arial" w:cs="Arial" w:eastAsia="Arial" w:hAnsi="Arial"/>
                <w:sz w:val="18"/>
                <w:szCs w:val="18"/>
                <w:color w:val="auto"/>
                <w:w w:val="91"/>
              </w:rPr>
              <w:t>Section 1350, as adopted pursuant to Section 906 of the Sarbanes-</w:t>
            </w: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980" w:type="dxa"/>
            <w:vAlign w:val="bottom"/>
          </w:tcPr>
          <w:p>
            <w:pPr>
              <w:spacing w:after="0"/>
              <w:rPr>
                <w:sz w:val="19"/>
                <w:szCs w:val="19"/>
                <w:color w:val="auto"/>
              </w:rPr>
            </w:pPr>
          </w:p>
        </w:tc>
        <w:tc>
          <w:tcPr>
            <w:tcW w:w="5200" w:type="dxa"/>
            <w:vAlign w:val="bottom"/>
          </w:tcPr>
          <w:p>
            <w:pPr>
              <w:ind w:left="240"/>
              <w:spacing w:after="0"/>
              <w:rPr>
                <w:sz w:val="20"/>
                <w:szCs w:val="20"/>
                <w:color w:val="auto"/>
              </w:rPr>
            </w:pPr>
            <w:r>
              <w:rPr>
                <w:rFonts w:ascii="Arial" w:cs="Arial" w:eastAsia="Arial" w:hAnsi="Arial"/>
                <w:sz w:val="18"/>
                <w:szCs w:val="18"/>
                <w:color w:val="auto"/>
              </w:rPr>
              <w:t>Oxley Act of 2002.</w:t>
            </w: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466"/>
        </w:trPr>
        <w:tc>
          <w:tcPr>
            <w:tcW w:w="980" w:type="dxa"/>
            <w:vAlign w:val="bottom"/>
          </w:tcPr>
          <w:p>
            <w:pPr>
              <w:ind w:left="100"/>
              <w:spacing w:after="0"/>
              <w:rPr>
                <w:sz w:val="20"/>
                <w:szCs w:val="20"/>
                <w:color w:val="auto"/>
              </w:rPr>
            </w:pPr>
            <w:r>
              <w:rPr>
                <w:rFonts w:ascii="Arial" w:cs="Arial" w:eastAsia="Arial" w:hAnsi="Arial"/>
                <w:sz w:val="18"/>
                <w:szCs w:val="18"/>
                <w:color w:val="auto"/>
              </w:rPr>
              <w:t>32.2</w:t>
            </w:r>
          </w:p>
        </w:tc>
        <w:tc>
          <w:tcPr>
            <w:tcW w:w="5200" w:type="dxa"/>
            <w:vAlign w:val="bottom"/>
          </w:tcPr>
          <w:p>
            <w:pPr>
              <w:ind w:left="240"/>
              <w:spacing w:after="0"/>
              <w:rPr>
                <w:sz w:val="20"/>
                <w:szCs w:val="20"/>
                <w:color w:val="auto"/>
              </w:rPr>
            </w:pPr>
            <w:r>
              <w:rPr>
                <w:rFonts w:ascii="Arial" w:cs="Arial" w:eastAsia="Arial" w:hAnsi="Arial"/>
                <w:sz w:val="18"/>
                <w:szCs w:val="18"/>
                <w:color w:val="auto"/>
                <w:w w:val="96"/>
              </w:rPr>
              <w:t>Certification of the Chief Financial Officer, pursuant to 18 U.S.C.</w:t>
            </w:r>
          </w:p>
        </w:tc>
        <w:tc>
          <w:tcPr>
            <w:tcW w:w="6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6"/>
        </w:trPr>
        <w:tc>
          <w:tcPr>
            <w:tcW w:w="980" w:type="dxa"/>
            <w:vAlign w:val="bottom"/>
          </w:tcPr>
          <w:p>
            <w:pPr>
              <w:spacing w:after="0"/>
              <w:rPr>
                <w:sz w:val="18"/>
                <w:szCs w:val="18"/>
                <w:color w:val="auto"/>
              </w:rPr>
            </w:pPr>
          </w:p>
        </w:tc>
        <w:tc>
          <w:tcPr>
            <w:tcW w:w="5200" w:type="dxa"/>
            <w:vAlign w:val="bottom"/>
          </w:tcPr>
          <w:p>
            <w:pPr>
              <w:ind w:left="240"/>
              <w:spacing w:after="0"/>
              <w:rPr>
                <w:sz w:val="20"/>
                <w:szCs w:val="20"/>
                <w:color w:val="auto"/>
              </w:rPr>
            </w:pPr>
            <w:r>
              <w:rPr>
                <w:rFonts w:ascii="Arial" w:cs="Arial" w:eastAsia="Arial" w:hAnsi="Arial"/>
                <w:sz w:val="18"/>
                <w:szCs w:val="18"/>
                <w:color w:val="auto"/>
                <w:w w:val="91"/>
              </w:rPr>
              <w:t>Section 1350, as adopted pursuant to Section 906 of the Sarbanes-</w:t>
            </w: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980" w:type="dxa"/>
            <w:vAlign w:val="bottom"/>
          </w:tcPr>
          <w:p>
            <w:pPr>
              <w:spacing w:after="0"/>
              <w:rPr>
                <w:sz w:val="19"/>
                <w:szCs w:val="19"/>
                <w:color w:val="auto"/>
              </w:rPr>
            </w:pPr>
          </w:p>
        </w:tc>
        <w:tc>
          <w:tcPr>
            <w:tcW w:w="5200" w:type="dxa"/>
            <w:vAlign w:val="bottom"/>
          </w:tcPr>
          <w:p>
            <w:pPr>
              <w:ind w:left="240"/>
              <w:spacing w:after="0"/>
              <w:rPr>
                <w:sz w:val="20"/>
                <w:szCs w:val="20"/>
                <w:color w:val="auto"/>
              </w:rPr>
            </w:pPr>
            <w:r>
              <w:rPr>
                <w:rFonts w:ascii="Arial" w:cs="Arial" w:eastAsia="Arial" w:hAnsi="Arial"/>
                <w:sz w:val="18"/>
                <w:szCs w:val="18"/>
                <w:color w:val="auto"/>
              </w:rPr>
              <w:t>Oxley Act of 2002.</w:t>
            </w: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466"/>
        </w:trPr>
        <w:tc>
          <w:tcPr>
            <w:tcW w:w="980" w:type="dxa"/>
            <w:vAlign w:val="bottom"/>
          </w:tcPr>
          <w:p>
            <w:pPr>
              <w:ind w:left="100"/>
              <w:spacing w:after="0"/>
              <w:rPr>
                <w:sz w:val="20"/>
                <w:szCs w:val="20"/>
                <w:color w:val="auto"/>
              </w:rPr>
            </w:pPr>
            <w:r>
              <w:rPr>
                <w:rFonts w:ascii="Arial" w:cs="Arial" w:eastAsia="Arial" w:hAnsi="Arial"/>
                <w:sz w:val="18"/>
                <w:szCs w:val="18"/>
                <w:color w:val="auto"/>
              </w:rPr>
              <w:t>101.INS</w:t>
            </w:r>
          </w:p>
        </w:tc>
        <w:tc>
          <w:tcPr>
            <w:tcW w:w="5200" w:type="dxa"/>
            <w:vAlign w:val="bottom"/>
          </w:tcPr>
          <w:p>
            <w:pPr>
              <w:ind w:left="240"/>
              <w:spacing w:after="0"/>
              <w:rPr>
                <w:sz w:val="20"/>
                <w:szCs w:val="20"/>
                <w:color w:val="auto"/>
              </w:rPr>
            </w:pPr>
            <w:r>
              <w:rPr>
                <w:rFonts w:ascii="Arial" w:cs="Arial" w:eastAsia="Arial" w:hAnsi="Arial"/>
                <w:sz w:val="18"/>
                <w:szCs w:val="18"/>
                <w:color w:val="auto"/>
              </w:rPr>
              <w:t>XBRL Instance Document</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6"/>
        </w:trPr>
        <w:tc>
          <w:tcPr>
            <w:tcW w:w="980" w:type="dxa"/>
            <w:vAlign w:val="bottom"/>
          </w:tcPr>
          <w:p>
            <w:pPr>
              <w:ind w:left="100"/>
              <w:spacing w:after="0"/>
              <w:rPr>
                <w:sz w:val="20"/>
                <w:szCs w:val="20"/>
                <w:color w:val="auto"/>
              </w:rPr>
            </w:pPr>
            <w:r>
              <w:rPr>
                <w:rFonts w:ascii="Arial" w:cs="Arial" w:eastAsia="Arial" w:hAnsi="Arial"/>
                <w:sz w:val="18"/>
                <w:szCs w:val="18"/>
                <w:color w:val="auto"/>
              </w:rPr>
              <w:t>101.SCH</w:t>
            </w:r>
          </w:p>
        </w:tc>
        <w:tc>
          <w:tcPr>
            <w:tcW w:w="520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980" w:type="dxa"/>
            <w:vAlign w:val="bottom"/>
          </w:tcPr>
          <w:p>
            <w:pPr>
              <w:ind w:left="100"/>
              <w:spacing w:after="0"/>
              <w:rPr>
                <w:sz w:val="20"/>
                <w:szCs w:val="20"/>
                <w:color w:val="auto"/>
              </w:rPr>
            </w:pPr>
            <w:r>
              <w:rPr>
                <w:rFonts w:ascii="Arial" w:cs="Arial" w:eastAsia="Arial" w:hAnsi="Arial"/>
                <w:sz w:val="18"/>
                <w:szCs w:val="18"/>
                <w:color w:val="auto"/>
              </w:rPr>
              <w:t>101.CAL</w:t>
            </w:r>
          </w:p>
        </w:tc>
        <w:tc>
          <w:tcPr>
            <w:tcW w:w="520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980" w:type="dxa"/>
            <w:vAlign w:val="bottom"/>
          </w:tcPr>
          <w:p>
            <w:pPr>
              <w:ind w:left="100"/>
              <w:spacing w:after="0"/>
              <w:rPr>
                <w:sz w:val="20"/>
                <w:szCs w:val="20"/>
                <w:color w:val="auto"/>
              </w:rPr>
            </w:pPr>
            <w:r>
              <w:rPr>
                <w:rFonts w:ascii="Arial" w:cs="Arial" w:eastAsia="Arial" w:hAnsi="Arial"/>
                <w:sz w:val="18"/>
                <w:szCs w:val="18"/>
                <w:color w:val="auto"/>
              </w:rPr>
              <w:t>101.LAB</w:t>
            </w:r>
          </w:p>
        </w:tc>
        <w:tc>
          <w:tcPr>
            <w:tcW w:w="520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980" w:type="dxa"/>
            <w:vAlign w:val="bottom"/>
          </w:tcPr>
          <w:p>
            <w:pPr>
              <w:ind w:left="100"/>
              <w:spacing w:after="0"/>
              <w:rPr>
                <w:sz w:val="20"/>
                <w:szCs w:val="20"/>
                <w:color w:val="auto"/>
              </w:rPr>
            </w:pPr>
            <w:r>
              <w:rPr>
                <w:rFonts w:ascii="Arial" w:cs="Arial" w:eastAsia="Arial" w:hAnsi="Arial"/>
                <w:sz w:val="18"/>
                <w:szCs w:val="18"/>
                <w:color w:val="auto"/>
              </w:rPr>
              <w:t>101.PRE</w:t>
            </w:r>
          </w:p>
        </w:tc>
        <w:tc>
          <w:tcPr>
            <w:tcW w:w="520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980" w:type="dxa"/>
            <w:vAlign w:val="bottom"/>
          </w:tcPr>
          <w:p>
            <w:pPr>
              <w:ind w:left="100"/>
              <w:spacing w:after="0"/>
              <w:rPr>
                <w:sz w:val="20"/>
                <w:szCs w:val="20"/>
                <w:color w:val="auto"/>
              </w:rPr>
            </w:pPr>
            <w:r>
              <w:rPr>
                <w:rFonts w:ascii="Arial" w:cs="Arial" w:eastAsia="Arial" w:hAnsi="Arial"/>
                <w:sz w:val="18"/>
                <w:szCs w:val="18"/>
                <w:color w:val="auto"/>
              </w:rPr>
              <w:t>101.DEF</w:t>
            </w:r>
          </w:p>
        </w:tc>
        <w:tc>
          <w:tcPr>
            <w:tcW w:w="520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0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65"/>
        </w:trPr>
        <w:tc>
          <w:tcPr>
            <w:tcW w:w="980" w:type="dxa"/>
            <w:vAlign w:val="bottom"/>
          </w:tcPr>
          <w:p>
            <w:pPr>
              <w:spacing w:after="0"/>
              <w:rPr>
                <w:sz w:val="24"/>
                <w:szCs w:val="24"/>
                <w:color w:val="auto"/>
              </w:rPr>
            </w:pPr>
          </w:p>
        </w:tc>
        <w:tc>
          <w:tcPr>
            <w:tcW w:w="5200" w:type="dxa"/>
            <w:vAlign w:val="bottom"/>
          </w:tcPr>
          <w:p>
            <w:pPr>
              <w:ind w:left="4640"/>
              <w:spacing w:after="0"/>
              <w:rPr>
                <w:sz w:val="20"/>
                <w:szCs w:val="20"/>
                <w:color w:val="auto"/>
              </w:rPr>
            </w:pPr>
            <w:r>
              <w:rPr>
                <w:rFonts w:ascii="Arial" w:cs="Arial" w:eastAsia="Arial" w:hAnsi="Arial"/>
                <w:sz w:val="18"/>
                <w:szCs w:val="18"/>
                <w:color w:val="auto"/>
              </w:rPr>
              <w:t>40</w:t>
            </w: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5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jc w:val="center"/>
        <w:ind w:left="6140"/>
        <w:spacing w:after="0"/>
        <w:rPr>
          <w:sz w:val="20"/>
          <w:szCs w:val="20"/>
          <w:color w:val="auto"/>
        </w:rPr>
      </w:pPr>
      <w:r>
        <w:rPr>
          <w:rFonts w:ascii="Arial" w:cs="Arial" w:eastAsia="Arial" w:hAnsi="Arial"/>
          <w:sz w:val="18"/>
          <w:szCs w:val="18"/>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10795</wp:posOffset>
            </wp:positionV>
            <wp:extent cx="24612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jc w:val="center"/>
        <w:ind w:left="6140"/>
        <w:spacing w:after="0"/>
        <w:rPr>
          <w:sz w:val="20"/>
          <w:szCs w:val="20"/>
          <w:color w:val="auto"/>
        </w:rPr>
      </w:pPr>
      <w:r>
        <w:rPr>
          <w:rFonts w:ascii="Arial" w:cs="Arial" w:eastAsia="Arial" w:hAnsi="Arial"/>
          <w:sz w:val="18"/>
          <w:szCs w:val="18"/>
          <w:color w:val="auto"/>
        </w:rPr>
        <w:t>(Registrant)</w:t>
      </w:r>
    </w:p>
    <w:p>
      <w:pPr>
        <w:spacing w:after="0" w:line="374" w:lineRule="exact"/>
        <w:rPr>
          <w:sz w:val="20"/>
          <w:szCs w:val="20"/>
          <w:color w:val="auto"/>
        </w:rPr>
      </w:pPr>
    </w:p>
    <w:p>
      <w:pPr>
        <w:ind w:left="180"/>
        <w:spacing w:after="0"/>
        <w:tabs>
          <w:tab w:leader="none" w:pos="1060" w:val="left"/>
          <w:tab w:leader="none" w:pos="8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31, 2013</w:t>
      </w:r>
      <w:r>
        <w:rPr>
          <w:sz w:val="20"/>
          <w:szCs w:val="20"/>
          <w:color w:val="auto"/>
        </w:rPr>
        <w:tab/>
      </w:r>
      <w:r>
        <w:rPr>
          <w:rFonts w:ascii="Arial" w:cs="Arial" w:eastAsia="Arial" w:hAnsi="Arial"/>
          <w:sz w:val="16"/>
          <w:szCs w:val="16"/>
          <w:color w:val="auto"/>
        </w:rPr>
        <w:t>/s/ C. Mark Hussey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10795</wp:posOffset>
            </wp:positionV>
            <wp:extent cx="18097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10795</wp:posOffset>
            </wp:positionV>
            <wp:extent cx="24612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jc w:val="center"/>
        <w:ind w:left="6140"/>
        <w:spacing w:after="0"/>
        <w:rPr>
          <w:sz w:val="20"/>
          <w:szCs w:val="20"/>
          <w:color w:val="auto"/>
        </w:rPr>
      </w:pPr>
      <w:r>
        <w:rPr>
          <w:rFonts w:ascii="Arial" w:cs="Arial" w:eastAsia="Arial" w:hAnsi="Arial"/>
          <w:sz w:val="18"/>
          <w:szCs w:val="18"/>
          <w:color w:val="auto"/>
        </w:rPr>
        <w:t>C. Mark Hussey</w:t>
      </w:r>
    </w:p>
    <w:p>
      <w:pPr>
        <w:spacing w:after="0" w:line="15" w:lineRule="exact"/>
        <w:rPr>
          <w:sz w:val="20"/>
          <w:szCs w:val="20"/>
          <w:color w:val="auto"/>
        </w:rPr>
      </w:pPr>
    </w:p>
    <w:p>
      <w:pPr>
        <w:jc w:val="center"/>
        <w:ind w:left="6140"/>
        <w:spacing w:after="0"/>
        <w:rPr>
          <w:sz w:val="20"/>
          <w:szCs w:val="20"/>
          <w:color w:val="auto"/>
        </w:rPr>
      </w:pPr>
      <w:r>
        <w:rPr>
          <w:rFonts w:ascii="Arial" w:cs="Arial" w:eastAsia="Arial" w:hAnsi="Arial"/>
          <w:sz w:val="18"/>
          <w:szCs w:val="18"/>
          <w:color w:val="auto"/>
        </w:rPr>
        <w:t>Executive Vice President, Chief Financial</w:t>
      </w:r>
    </w:p>
    <w:p>
      <w:pPr>
        <w:spacing w:after="0" w:line="9" w:lineRule="exact"/>
        <w:rPr>
          <w:sz w:val="20"/>
          <w:szCs w:val="20"/>
          <w:color w:val="auto"/>
        </w:rPr>
      </w:pPr>
    </w:p>
    <w:p>
      <w:pPr>
        <w:jc w:val="center"/>
        <w:ind w:left="6140"/>
        <w:spacing w:after="0"/>
        <w:rPr>
          <w:sz w:val="20"/>
          <w:szCs w:val="20"/>
          <w:color w:val="auto"/>
        </w:rPr>
      </w:pPr>
      <w:r>
        <w:rPr>
          <w:rFonts w:ascii="Arial" w:cs="Arial" w:eastAsia="Arial" w:hAnsi="Arial"/>
          <w:sz w:val="18"/>
          <w:szCs w:val="18"/>
          <w:color w:val="auto"/>
        </w:rPr>
        <w:t>Officer and Treasurer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ind w:left="260" w:right="2800"/>
        <w:spacing w:after="0" w:line="262" w:lineRule="auto"/>
        <w:rPr>
          <w:sz w:val="20"/>
          <w:szCs w:val="20"/>
          <w:color w:val="auto"/>
        </w:rPr>
      </w:pPr>
      <w:r>
        <w:rPr>
          <w:rFonts w:ascii="Arial" w:cs="Arial" w:eastAsia="Arial" w:hAnsi="Arial"/>
          <w:sz w:val="18"/>
          <w:szCs w:val="18"/>
          <w:b w:val="1"/>
          <w:bCs w:val="1"/>
          <w:color w:val="auto"/>
        </w:rPr>
        <w:t>CERTIFICATION OF THE CHIEF EXECUTIVE OFFICER, PURSUANT TO RULE 13a-14(a)/15d-14(a), AS ADOPTED PURSUANT TO SECTION 302 OF THE SARBANES-OXLEY ACT OF 2002</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I, James H. Roth, certify that:</w:t>
      </w:r>
    </w:p>
    <w:p>
      <w:pPr>
        <w:spacing w:after="0" w:line="90"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tabs>
          <w:tab w:leader="none" w:pos="800" w:val="left"/>
          <w:tab w:leader="none" w:pos="5660" w:val="left"/>
          <w:tab w:leader="none" w:pos="7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31,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H.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10795</wp:posOffset>
            </wp:positionV>
            <wp:extent cx="17322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32280" cy="8890"/>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10795</wp:posOffset>
            </wp:positionV>
            <wp:extent cx="260731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James H. Roth</w:t>
      </w:r>
    </w:p>
    <w:p>
      <w:pPr>
        <w:spacing w:after="0" w:line="15"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ind w:left="260" w:right="2800"/>
        <w:spacing w:after="0" w:line="262" w:lineRule="auto"/>
        <w:rPr>
          <w:sz w:val="20"/>
          <w:szCs w:val="20"/>
          <w:color w:val="auto"/>
        </w:rPr>
      </w:pPr>
      <w:r>
        <w:rPr>
          <w:rFonts w:ascii="Arial" w:cs="Arial" w:eastAsia="Arial" w:hAnsi="Arial"/>
          <w:sz w:val="18"/>
          <w:szCs w:val="18"/>
          <w:b w:val="1"/>
          <w:bCs w:val="1"/>
          <w:color w:val="auto"/>
        </w:rPr>
        <w:t>CERTIFICATION OF THE CHIEF FINANCIAL OFFICER, PURSUANT TO RULE 13a-14(a)/15d-14(a), AS ADOPTED PURSUANT TO SECTION 302 OF THE SARBANES-OXLEY ACT OF 2002</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I, C. Mark Hussey, certify that:</w:t>
      </w:r>
    </w:p>
    <w:p>
      <w:pPr>
        <w:spacing w:after="0" w:line="90"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tabs>
          <w:tab w:leader="none" w:pos="800" w:val="left"/>
          <w:tab w:leader="none" w:pos="5660" w:val="left"/>
          <w:tab w:leader="none" w:pos="7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31,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 Mark Hussey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10795</wp:posOffset>
            </wp:positionV>
            <wp:extent cx="17322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32280" cy="8890"/>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10795</wp:posOffset>
            </wp:positionV>
            <wp:extent cx="260731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C. Mark Hussey</w:t>
      </w:r>
    </w:p>
    <w:p>
      <w:pPr>
        <w:spacing w:after="0" w:line="15"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Executive Vice President, Chief Financial</w:t>
      </w:r>
    </w:p>
    <w:p>
      <w:pPr>
        <w:spacing w:after="0" w:line="9"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Officer and Treasurer</w:t>
      </w:r>
    </w:p>
    <w:p>
      <w:pPr>
        <w:sectPr>
          <w:pgSz w:w="11900" w:h="16838" w:orient="portrait"/>
          <w:cols w:equalWidth="0" w:num="1">
            <w:col w:w="11420"/>
          </w:cols>
          <w:pgMar w:left="240" w:top="12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CERTIFICATION OF THE CHIEF EXECUTIVE OFFICER, PURSUANT TO 18 U.S.C. SECTION 1350, AS ADOPTED PURSUANT TO SECTION 906 OF THE SARBANES-OXLEY ACT OF 2002</w:t>
      </w:r>
    </w:p>
    <w:p>
      <w:pPr>
        <w:spacing w:after="0" w:line="11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connection with the Quarterly Report of Huron Consulting Group Inc. (the “Company”) on Form 10-Q for the quarter ended June 30, 2013 as filed with the Securities and Exchange Commission on the date hereof (the “Report”), I, James H. Roth, President and Chief Executive Officer of the Company, hereby certify, pursuant to 18 U.S.C. Section 1350, as adopted pursuant to Section 906 of the Sarbanes-Oxley Act of 2002, that to the best of my knowledge:</w:t>
      </w:r>
    </w:p>
    <w:p>
      <w:pPr>
        <w:spacing w:after="0" w:line="26"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2" w:lineRule="exact"/>
        <w:rPr>
          <w:sz w:val="20"/>
          <w:szCs w:val="20"/>
          <w:color w:val="auto"/>
        </w:rPr>
      </w:pPr>
    </w:p>
    <w:p>
      <w:pPr>
        <w:spacing w:after="0"/>
        <w:tabs>
          <w:tab w:leader="none" w:pos="820" w:val="left"/>
          <w:tab w:leader="none" w:pos="5720" w:val="left"/>
          <w:tab w:leader="none" w:pos="76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31,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H.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10795</wp:posOffset>
            </wp:positionV>
            <wp:extent cx="17411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41170"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10795</wp:posOffset>
            </wp:positionV>
            <wp:extent cx="25298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2"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James H. Roth</w:t>
      </w:r>
    </w:p>
    <w:p>
      <w:pPr>
        <w:spacing w:after="0" w:line="9"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President and Chief Executive Officer</w:t>
      </w:r>
    </w:p>
    <w:p>
      <w:pPr>
        <w:spacing w:after="0" w:line="19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1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p>
      <w:pPr>
        <w:sectPr>
          <w:pgSz w:w="11900" w:h="16838" w:orient="portrait"/>
          <w:cols w:equalWidth="0" w:num="1">
            <w:col w:w="11420"/>
          </w:cols>
          <w:pgMar w:left="240" w:top="12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144"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CERTIFICATION OF THE CHIEF FINANCIAL OFFICER, PURSUANT TO 18 U.S.C. SECTION 1350, AS ADOPTED PURSUANT TO SECTION 906 OF THE SARBANES-OXLEY ACT OF 2002</w:t>
      </w:r>
    </w:p>
    <w:p>
      <w:pPr>
        <w:spacing w:after="0" w:line="13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the Quarterly Report of Huron Consulting Group Inc. (the “Company”) on Form 10-Q for the quarter ended June 30, 2013 as filed with the Securities and Exchange Commission on the date hereof (the “Report”), I, C. Mark Hussey, Executive Vice President, Chief Financial Officer and Treasurer of the Company, hereby certify, pursuant to 18 U.S.C. Section 1350, as adopted pursuant to Section 906 of the Sarbanes-Oxley Act of 2002, that to the best of my knowledge:</w:t>
      </w:r>
    </w:p>
    <w:p>
      <w:pPr>
        <w:spacing w:after="0" w:line="62"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2" w:lineRule="exact"/>
        <w:rPr>
          <w:sz w:val="20"/>
          <w:szCs w:val="20"/>
          <w:color w:val="auto"/>
        </w:rPr>
      </w:pPr>
    </w:p>
    <w:p>
      <w:pPr>
        <w:spacing w:after="0"/>
        <w:tabs>
          <w:tab w:leader="none" w:pos="820" w:val="left"/>
          <w:tab w:leader="none" w:pos="5720" w:val="left"/>
          <w:tab w:leader="none" w:pos="7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31,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 Mark Hussey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10795</wp:posOffset>
            </wp:positionV>
            <wp:extent cx="17411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41170"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10795</wp:posOffset>
            </wp:positionV>
            <wp:extent cx="25298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C. Mark Hussey</w:t>
      </w:r>
    </w:p>
    <w:p>
      <w:pPr>
        <w:spacing w:after="0" w:line="15"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Executive Vice President, Chief Financial</w:t>
      </w:r>
    </w:p>
    <w:p>
      <w:pPr>
        <w:spacing w:after="0" w:line="9"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Officer and Treasurer</w:t>
      </w:r>
    </w:p>
    <w:p>
      <w:pPr>
        <w:spacing w:after="0" w:line="20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4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2"/>
    </w:lvl>
  </w:abstractNum>
  <w:abstractNum w:abstractNumId="4">
    <w:nsid w:val="257130A3"/>
    <w:multiLevelType w:val="hybridMultilevel"/>
    <w:lvl w:ilvl="0">
      <w:lvlJc w:val="left"/>
      <w:lvlText w:val="%1."/>
      <w:numFmt w:val="decimal"/>
      <w:start w:val="3"/>
    </w:lvl>
  </w:abstractNum>
  <w:abstractNum w:abstractNumId="5">
    <w:nsid w:val="62BBD95A"/>
    <w:multiLevelType w:val="hybridMultilevel"/>
    <w:lvl w:ilvl="0">
      <w:lvlJc w:val="left"/>
      <w:lvlText w:val="%1."/>
      <w:numFmt w:val="decimal"/>
      <w:start w:val="4"/>
    </w:lvl>
  </w:abstractNum>
  <w:abstractNum w:abstractNumId="6">
    <w:nsid w:val="436C6125"/>
    <w:multiLevelType w:val="hybridMultilevel"/>
    <w:lvl w:ilvl="0">
      <w:lvlJc w:val="left"/>
      <w:lvlText w:val="%1."/>
      <w:numFmt w:val="decimal"/>
      <w:start w:val="5"/>
    </w:lvl>
  </w:abstractNum>
  <w:abstractNum w:abstractNumId="7">
    <w:nsid w:val="628C895D"/>
    <w:multiLevelType w:val="hybridMultilevel"/>
    <w:lvl w:ilvl="0">
      <w:lvlJc w:val="left"/>
      <w:lvlText w:val="%1."/>
      <w:numFmt w:val="decimal"/>
      <w:start w:val="6"/>
    </w:lvl>
  </w:abstractNum>
  <w:abstractNum w:abstractNumId="8">
    <w:nsid w:val="333AB105"/>
    <w:multiLevelType w:val="hybridMultilevel"/>
    <w:lvl w:ilvl="0">
      <w:lvlJc w:val="left"/>
      <w:lvlText w:val="%1."/>
      <w:numFmt w:val="decimal"/>
      <w:start w:val="7"/>
    </w:lvl>
  </w:abstractNum>
  <w:abstractNum w:abstractNumId="9">
    <w:nsid w:val="721DA317"/>
    <w:multiLevelType w:val="hybridMultilevel"/>
    <w:lvl w:ilvl="0">
      <w:lvlJc w:val="left"/>
      <w:lvlText w:val="%1."/>
      <w:numFmt w:val="decimal"/>
      <w:start w:val="8"/>
    </w:lvl>
  </w:abstractNum>
  <w:abstractNum w:abstractNumId="10">
    <w:nsid w:val="2443A858"/>
    <w:multiLevelType w:val="hybridMultilevel"/>
    <w:lvl w:ilvl="0">
      <w:lvlJc w:val="left"/>
      <w:lvlText w:val="%1."/>
      <w:numFmt w:val="decimal"/>
      <w:start w:val="9"/>
    </w:lvl>
  </w:abstractNum>
  <w:abstractNum w:abstractNumId="11">
    <w:nsid w:val="2D1D5AE9"/>
    <w:multiLevelType w:val="hybridMultilevel"/>
    <w:lvl w:ilvl="0">
      <w:lvlJc w:val="left"/>
      <w:lvlText w:val="%1."/>
      <w:numFmt w:val="decimal"/>
      <w:start w:val="10"/>
    </w:lvl>
  </w:abstractNum>
  <w:abstractNum w:abstractNumId="12">
    <w:nsid w:val="6763845E"/>
    <w:multiLevelType w:val="hybridMultilevel"/>
    <w:lvl w:ilvl="0">
      <w:lvlJc w:val="left"/>
      <w:lvlText w:val="%1."/>
      <w:numFmt w:val="decimal"/>
      <w:start w:val="11"/>
    </w:lvl>
  </w:abstractNum>
  <w:abstractNum w:abstractNumId="13">
    <w:nsid w:val="75A2A8D4"/>
    <w:multiLevelType w:val="hybridMultilevel"/>
    <w:lvl w:ilvl="0">
      <w:lvlJc w:val="left"/>
      <w:lvlText w:val="%1."/>
      <w:numFmt w:val="decimal"/>
      <w:start w:val="12"/>
    </w:lvl>
  </w:abstractNum>
  <w:abstractNum w:abstractNumId="14">
    <w:nsid w:val="8EDBDAB"/>
    <w:multiLevelType w:val="hybridMultilevel"/>
    <w:lvl w:ilvl="0">
      <w:lvlJc w:val="left"/>
      <w:lvlText w:val="%1."/>
      <w:numFmt w:val="decimal"/>
      <w:start w:val="13"/>
    </w:lvl>
  </w:abstractNum>
  <w:abstractNum w:abstractNumId="15">
    <w:nsid w:val="79838CB2"/>
    <w:multiLevelType w:val="hybridMultilevel"/>
    <w:lvl w:ilvl="0">
      <w:lvlJc w:val="left"/>
      <w:lvlText w:val="%1."/>
      <w:numFmt w:val="decimal"/>
      <w:start w:val="14"/>
    </w:lvl>
  </w:abstractNum>
  <w:abstractNum w:abstractNumId="16">
    <w:nsid w:val="4353D0CD"/>
    <w:multiLevelType w:val="hybridMultilevel"/>
    <w:lvl w:ilvl="0">
      <w:lvlJc w:val="left"/>
      <w:lvlText w:val="\emdash "/>
      <w:numFmt w:val="bullet"/>
      <w:start w:val="1"/>
    </w:lvl>
  </w:abstractNum>
  <w:abstractNum w:abstractNumId="17">
    <w:nsid w:val="B03E0C6"/>
    <w:multiLevelType w:val="hybridMultilevel"/>
    <w:lvl w:ilvl="0">
      <w:lvlJc w:val="left"/>
      <w:lvlText w:val="\emdash "/>
      <w:numFmt w:val="bullet"/>
      <w:start w:val="1"/>
    </w:lvl>
  </w:abstractNum>
  <w:abstractNum w:abstractNumId="18">
    <w:nsid w:val="189A769B"/>
    <w:multiLevelType w:val="hybridMultilevel"/>
    <w:lvl w:ilvl="0">
      <w:lvlJc w:val="left"/>
      <w:lvlText w:val="\emdash "/>
      <w:numFmt w:val="bullet"/>
      <w:start w:val="1"/>
    </w:lvl>
  </w:abstractNum>
  <w:abstractNum w:abstractNumId="19">
    <w:nsid w:val="54E49EB4"/>
    <w:multiLevelType w:val="hybridMultilevel"/>
    <w:lvl w:ilvl="0">
      <w:lvlJc w:val="left"/>
      <w:lvlText w:val="\emdash "/>
      <w:numFmt w:val="bullet"/>
      <w:start w:val="1"/>
    </w:lvl>
  </w:abstractNum>
  <w:abstractNum w:abstractNumId="20">
    <w:nsid w:val="71F32454"/>
    <w:multiLevelType w:val="hybridMultilevel"/>
    <w:lvl w:ilvl="0">
      <w:lvlJc w:val="left"/>
      <w:lvlText w:val="\emdash "/>
      <w:numFmt w:val="bullet"/>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emdash "/>
      <w:numFmt w:val="bullet"/>
      <w:start w:val="1"/>
    </w:lvl>
  </w:abstractNum>
  <w:abstractNum w:abstractNumId="23">
    <w:nsid w:val="2901D82"/>
    <w:multiLevelType w:val="hybridMultilevel"/>
    <w:lvl w:ilvl="0">
      <w:lvlJc w:val="left"/>
      <w:lvlText w:val="\emdash "/>
      <w:numFmt w:val="bullet"/>
      <w:start w:val="1"/>
    </w:lvl>
  </w:abstractNum>
  <w:abstractNum w:abstractNumId="24">
    <w:nsid w:val="3A95F874"/>
    <w:multiLevelType w:val="hybridMultilevel"/>
    <w:lvl w:ilvl="0">
      <w:lvlJc w:val="left"/>
      <w:lvlText w:val="\emdash "/>
      <w:numFmt w:val="bullet"/>
      <w:start w:val="1"/>
    </w:lvl>
  </w:abstractNum>
  <w:abstractNum w:abstractNumId="25">
    <w:nsid w:val="8138641"/>
    <w:multiLevelType w:val="hybridMultilevel"/>
    <w:lvl w:ilvl="0">
      <w:lvlJc w:val="left"/>
      <w:lvlText w:val="\emdash "/>
      <w:numFmt w:val="bullet"/>
      <w:start w:val="1"/>
    </w:lvl>
  </w:abstractNum>
  <w:abstractNum w:abstractNumId="26">
    <w:nsid w:val="1E7FF521"/>
    <w:multiLevelType w:val="hybridMultilevel"/>
    <w:lvl w:ilvl="0">
      <w:lvlJc w:val="left"/>
      <w:lvlText w:val="\emdash "/>
      <w:numFmt w:val="bullet"/>
      <w:start w:val="1"/>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emdash "/>
      <w:numFmt w:val="bullet"/>
      <w:start w:val="1"/>
    </w:lvl>
  </w:abstractNum>
  <w:abstractNum w:abstractNumId="29">
    <w:nsid w:val="6CEAF087"/>
    <w:multiLevelType w:val="hybridMultilevel"/>
    <w:lvl w:ilvl="0">
      <w:lvlJc w:val="left"/>
      <w:lvlText w:val="(%1)"/>
      <w:numFmt w:val="lowerLetter"/>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2019-12-07T08:05:50Z</dcterms:created>
  <dcterms:modified xsi:type="dcterms:W3CDTF">2019-12-07T08:05:50Z</dcterms:modified>
</cp:coreProperties>
</file>