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HURON CONSULTING GROUP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15875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4"/>
          <w:szCs w:val="24"/>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15875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4"/>
          <w:szCs w:val="24"/>
          <w:color w:val="auto"/>
        </w:rPr>
      </w:pPr>
    </w:p>
    <w:p>
      <w:pPr>
        <w:ind w:left="900" w:hanging="446"/>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8" w:lineRule="exact"/>
        <w:rPr>
          <w:sz w:val="24"/>
          <w:szCs w:val="24"/>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15875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308" w:right="259" w:bottom="1440" w:gutter="0" w:footer="0" w:header="0"/>
        </w:sectPr>
      </w:pPr>
    </w:p>
    <w:bookmarkStart w:id="1" w:name="page2"/>
    <w:bookmarkEnd w:id="1"/>
    <w:p>
      <w:pPr>
        <w:ind w:left="892" w:hanging="446"/>
        <w:spacing w:after="0"/>
        <w:tabs>
          <w:tab w:leader="none" w:pos="8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4" w:lineRule="exact"/>
        <w:rPr>
          <w:sz w:val="20"/>
          <w:szCs w:val="20"/>
          <w:color w:val="auto"/>
        </w:rPr>
      </w:pPr>
    </w:p>
    <w:p>
      <w:pPr>
        <w:ind w:left="452" w:hanging="452"/>
        <w:spacing w:after="0"/>
        <w:tabs>
          <w:tab w:leader="none" w:pos="452"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275" w:lineRule="auto"/>
        <w:tabs>
          <w:tab w:leader="none" w:pos="452"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892" w:hanging="446"/>
        <w:spacing w:after="0"/>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8" w:lineRule="exact"/>
        <w:rPr>
          <w:sz w:val="20"/>
          <w:szCs w:val="20"/>
          <w:color w:val="auto"/>
        </w:rPr>
      </w:pPr>
    </w:p>
    <w:p>
      <w:pPr>
        <w:ind w:left="892" w:hanging="446"/>
        <w:spacing w:after="0"/>
        <w:tabs>
          <w:tab w:leader="none" w:pos="8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0"/>
          <w:szCs w:val="20"/>
          <w:color w:val="auto"/>
        </w:rPr>
      </w:pPr>
    </w:p>
    <w:p>
      <w:pPr>
        <w:ind w:left="892" w:hanging="446"/>
        <w:spacing w:after="0"/>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15875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2" w:lineRule="exact"/>
        <w:rPr>
          <w:sz w:val="20"/>
          <w:szCs w:val="20"/>
          <w:color w:val="auto"/>
        </w:rPr>
      </w:pPr>
    </w:p>
    <w:p>
      <w:pPr>
        <w:ind w:left="892" w:hanging="446"/>
        <w:spacing w:after="0"/>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169"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25" w:right="9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 Supplemental Proxy Materials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Annual Meeting of Shareholders to be Held on May 4,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requesting your support on our Say-On-Pay proposal (Proposal No. 2), at our 2018 Annual Meeting of Shareholders. In addition to the information presented in the Compensation Discussion and Analysis (CD&amp;A) section of Huron’s 2018 Proxy Statement, we are providing this supplemental shareholder communication to:</w:t>
      </w:r>
    </w:p>
    <w:p>
      <w:pPr>
        <w:spacing w:after="0" w:line="82"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how our Compensation Committee manages our executive compensation programs;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changes to the executive compensation program that have already been implemented for fiscal 2018;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clarify compensation decisions made based on fiscal 2017 performance.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compensation program relies on a strong pay-for-performance standard as evidenced by the significant portion of NEO pay that is at-risk. Our compensation program is further strengthened by our comprehensive compensation governance policies aimed at enhancing long-term shareholder alignment. Moreover, every year since the inception of Say-On-Pay in 2012, over 98% of the shareholder votes have been in favor of our named executive officer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2017 Performance Highlights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pace and breadth of change</w:t>
      </w:r>
      <w:r>
        <w:rPr>
          <w:rFonts w:ascii="Times New Roman" w:cs="Times New Roman" w:eastAsia="Times New Roman" w:hAnsi="Times New Roman"/>
          <w:sz w:val="18"/>
          <w:szCs w:val="18"/>
          <w:color w:val="auto"/>
        </w:rPr>
        <w:t xml:space="preserve"> across many industries and businesses, including our largest industry vertical, Healthcare, has never been more significant. The resulting impact at nearly all of our clients has been disruptive, with many clients seeking to transform themselves to redefine their paths for long-term success.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We recognize that the past few years have also been challenging for Huron and our shareholders. This challenge continued in 2017, driven by further revenue declines in our Healthcare segment. While we are disappointed in our overall financial performance in 2017, </w:t>
      </w:r>
      <w:r>
        <w:rPr>
          <w:rFonts w:ascii="Times New Roman" w:cs="Times New Roman" w:eastAsia="Times New Roman" w:hAnsi="Times New Roman"/>
          <w:sz w:val="18"/>
          <w:szCs w:val="18"/>
          <w:b w:val="1"/>
          <w:bCs w:val="1"/>
          <w:color w:val="auto"/>
        </w:rPr>
        <w:t>we made significant progress during the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toward repositioning Huron for a return to organic growth</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900" w:right="100" w:hanging="325"/>
        <w:spacing w:after="0" w:line="26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Healthcare: The changes we made throughout 2017 to accelerate the operational turnaround of our Healthcare business have positioned us to </w:t>
      </w:r>
      <w:r>
        <w:rPr>
          <w:rFonts w:ascii="Times New Roman" w:cs="Times New Roman" w:eastAsia="Times New Roman" w:hAnsi="Times New Roman"/>
          <w:sz w:val="18"/>
          <w:szCs w:val="18"/>
          <w:b w:val="1"/>
          <w:bCs w:val="1"/>
          <w:color w:val="auto"/>
        </w:rPr>
        <w:t>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more responsive to changing market conditions. </w:t>
      </w:r>
      <w:r>
        <w:rPr>
          <w:rFonts w:ascii="Times New Roman" w:cs="Times New Roman" w:eastAsia="Times New Roman" w:hAnsi="Times New Roman"/>
          <w:sz w:val="18"/>
          <w:szCs w:val="18"/>
          <w:color w:val="auto"/>
        </w:rPr>
        <w:t>We have developed more flexible delivery models to better equip the Healthcare business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 across a dramatically larger number of clients and a wider spectrum of engagement sizes and durations.</w:t>
      </w:r>
    </w:p>
    <w:p>
      <w:pPr>
        <w:spacing w:after="0" w:line="76" w:lineRule="exact"/>
        <w:rPr>
          <w:rFonts w:ascii="Times New Roman" w:cs="Times New Roman" w:eastAsia="Times New Roman" w:hAnsi="Times New Roman"/>
          <w:sz w:val="18"/>
          <w:szCs w:val="18"/>
          <w:color w:val="auto"/>
        </w:rPr>
      </w:pPr>
    </w:p>
    <w:p>
      <w:pPr>
        <w:ind w:left="900" w:right="240" w:hanging="325"/>
        <w:spacing w:after="0" w:line="26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Education: The Education segment </w:t>
      </w:r>
      <w:r>
        <w:rPr>
          <w:rFonts w:ascii="Times New Roman" w:cs="Times New Roman" w:eastAsia="Times New Roman" w:hAnsi="Times New Roman"/>
          <w:sz w:val="18"/>
          <w:szCs w:val="18"/>
          <w:b w:val="1"/>
          <w:bCs w:val="1"/>
          <w:color w:val="auto"/>
        </w:rPr>
        <w:t>achieved another year of solid organic growth in 2017</w:t>
      </w:r>
      <w:r>
        <w:rPr>
          <w:rFonts w:ascii="Times New Roman" w:cs="Times New Roman" w:eastAsia="Times New Roman" w:hAnsi="Times New Roman"/>
          <w:sz w:val="18"/>
          <w:szCs w:val="18"/>
          <w:color w:val="auto"/>
        </w:rPr>
        <w:t>, driven by strong performance in our technology and strategy and operations businesses. We remain well positioned for continued growth in this segment as higher education institutions are focused on responding to changes in student expectations and increased public scrutiny.</w:t>
      </w:r>
    </w:p>
    <w:p>
      <w:pPr>
        <w:sectPr>
          <w:pgSz w:w="11900" w:h="16838" w:orient="portrait"/>
          <w:cols w:equalWidth="0" w:num="1">
            <w:col w:w="11360"/>
          </w:cols>
          <w:pgMar w:left="240" w:top="266" w:right="299" w:bottom="1440" w:gutter="0" w:footer="0" w:header="0"/>
        </w:sectPr>
      </w:pPr>
    </w:p>
    <w:bookmarkStart w:id="3" w:name="page4"/>
    <w:bookmarkEnd w:id="3"/>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Advisory: The Business Advisory segment now comprises four businesses: (i) our enterprise solutions and analytics (ES&amp;A business);</w:t>
      </w:r>
    </w:p>
    <w:p>
      <w:pPr>
        <w:spacing w:after="0" w:line="27" w:lineRule="exact"/>
        <w:rPr>
          <w:rFonts w:ascii="Times New Roman" w:cs="Times New Roman" w:eastAsia="Times New Roman" w:hAnsi="Times New Roman"/>
          <w:sz w:val="18"/>
          <w:szCs w:val="18"/>
          <w:color w:val="auto"/>
        </w:rPr>
      </w:pPr>
    </w:p>
    <w:p>
      <w:pPr>
        <w:ind w:left="900" w:right="300" w:hanging="1"/>
        <w:spacing w:after="0" w:line="277" w:lineRule="auto"/>
        <w:tabs>
          <w:tab w:leader="none" w:pos="116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legacy business advisory business; (iii) strategy and innovation business; and (iv) life sciences business. On a full-year basis,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Advisory segment grew 37 percent year-over-year</w:t>
      </w:r>
      <w:r>
        <w:rPr>
          <w:rFonts w:ascii="Times New Roman" w:cs="Times New Roman" w:eastAsia="Times New Roman" w:hAnsi="Times New Roman"/>
          <w:sz w:val="17"/>
          <w:szCs w:val="17"/>
          <w:color w:val="auto"/>
        </w:rPr>
        <w:t>, driven by our acquisitions of Pope Woodhead and Innosight, which strengthened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international footprint and contributed nearly $44 million in revenues in 2017, and organic growth, from our ES&amp;A business.</w:t>
      </w:r>
    </w:p>
    <w:p>
      <w:pPr>
        <w:spacing w:after="0" w:line="74"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other Company-wide initiatives, we have:</w:t>
      </w:r>
    </w:p>
    <w:p>
      <w:pPr>
        <w:spacing w:after="0" w:line="126" w:lineRule="exact"/>
        <w:rPr>
          <w:rFonts w:ascii="Times New Roman" w:cs="Times New Roman" w:eastAsia="Times New Roman" w:hAnsi="Times New Roman"/>
          <w:sz w:val="18"/>
          <w:szCs w:val="18"/>
          <w:color w:val="auto"/>
        </w:rPr>
      </w:pPr>
    </w:p>
    <w:p>
      <w:pPr>
        <w:ind w:left="1920" w:right="80" w:hanging="318"/>
        <w:spacing w:after="0" w:line="268" w:lineRule="auto"/>
        <w:tabs>
          <w:tab w:leader="none" w:pos="19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the level </w:t>
      </w:r>
      <w:r>
        <w:rPr>
          <w:rFonts w:ascii="Times New Roman" w:cs="Times New Roman" w:eastAsia="Times New Roman" w:hAnsi="Times New Roman"/>
          <w:sz w:val="18"/>
          <w:szCs w:val="18"/>
          <w:b w:val="1"/>
          <w:bCs w:val="1"/>
          <w:color w:val="auto"/>
        </w:rPr>
        <w:t>of collaboration</w:t>
      </w:r>
      <w:r>
        <w:rPr>
          <w:rFonts w:ascii="Times New Roman" w:cs="Times New Roman" w:eastAsia="Times New Roman" w:hAnsi="Times New Roman"/>
          <w:sz w:val="18"/>
          <w:szCs w:val="18"/>
          <w:color w:val="auto"/>
        </w:rPr>
        <w:t xml:space="preserve"> across all of our service lines to capitalize on our competitive advantages in our core industries. Our professionals are leveraging our core competencies and deep expertise in new and creative ways that are resonating with our clients as they confront the challenges of their own rapidly changing and highly competitive environment.</w:t>
      </w:r>
    </w:p>
    <w:p>
      <w:pPr>
        <w:spacing w:after="0" w:line="80" w:lineRule="exact"/>
        <w:rPr>
          <w:rFonts w:ascii="Times New Roman" w:cs="Times New Roman" w:eastAsia="Times New Roman" w:hAnsi="Times New Roman"/>
          <w:sz w:val="18"/>
          <w:szCs w:val="18"/>
          <w:color w:val="auto"/>
        </w:rPr>
      </w:pPr>
    </w:p>
    <w:p>
      <w:pPr>
        <w:ind w:left="1920" w:right="680" w:hanging="318"/>
        <w:spacing w:after="0" w:line="282" w:lineRule="auto"/>
        <w:tabs>
          <w:tab w:leader="none" w:pos="19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Continued to invest in our cloud-based technology services for long-term growth and we believe we are well positioned to </w:t>
      </w:r>
      <w:r>
        <w:rPr>
          <w:rFonts w:ascii="Times New Roman" w:cs="Times New Roman" w:eastAsia="Times New Roman" w:hAnsi="Times New Roman"/>
          <w:sz w:val="18"/>
          <w:szCs w:val="18"/>
          <w:b w:val="1"/>
          <w:bCs w:val="1"/>
          <w:color w:val="auto"/>
        </w:rPr>
        <w:t xml:space="preserve">continue increasing our scale in our cloud offerings </w:t>
      </w:r>
      <w:r>
        <w:rPr>
          <w:rFonts w:ascii="Times New Roman" w:cs="Times New Roman" w:eastAsia="Times New Roman" w:hAnsi="Times New Roman"/>
          <w:sz w:val="18"/>
          <w:szCs w:val="18"/>
          <w:color w:val="auto"/>
        </w:rPr>
        <w:t>as demand for our services remains strong.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Transformation: How We are Pivoting for Sustainable Long-term Growth</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accept our recent performance as the new normal for our business. Since the sale of Huron Legal in 2015, we have been shaping Huron into a more integrated, competitive operating business, and, in 2017, we took the next step in this evolution.</w:t>
      </w:r>
    </w:p>
    <w:p>
      <w:pPr>
        <w:spacing w:after="0" w:line="67" w:lineRule="exact"/>
        <w:rPr>
          <w:sz w:val="20"/>
          <w:szCs w:val="20"/>
          <w:color w:val="auto"/>
        </w:rPr>
      </w:pPr>
    </w:p>
    <w:p>
      <w:pPr>
        <w:ind w:left="900" w:hanging="325"/>
        <w:spacing w:after="0" w:line="25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5-Year Enterprise-Level Strategy</w:t>
      </w:r>
      <w:r>
        <w:rPr>
          <w:rFonts w:ascii="Times New Roman" w:cs="Times New Roman" w:eastAsia="Times New Roman" w:hAnsi="Times New Roman"/>
          <w:sz w:val="18"/>
          <w:szCs w:val="18"/>
          <w:color w:val="auto"/>
        </w:rPr>
        <w:t xml:space="preserve">. During 2017, we developed a plan to achieve our vision for Huron through a new, Board of Directors endorsed, </w:t>
      </w:r>
      <w:r>
        <w:rPr>
          <w:rFonts w:ascii="Times New Roman" w:cs="Times New Roman" w:eastAsia="Times New Roman" w:hAnsi="Times New Roman"/>
          <w:sz w:val="18"/>
          <w:szCs w:val="18"/>
          <w:b w:val="1"/>
          <w:bCs w:val="1"/>
          <w:color w:val="auto"/>
        </w:rPr>
        <w:t>five-year enterprise-level strategy</w:t>
      </w:r>
      <w:r>
        <w:rPr>
          <w:rFonts w:ascii="Times New Roman" w:cs="Times New Roman" w:eastAsia="Times New Roman" w:hAnsi="Times New Roman"/>
          <w:sz w:val="18"/>
          <w:szCs w:val="18"/>
          <w:color w:val="auto"/>
        </w:rPr>
        <w:t xml:space="preserve">. We believe we have the right management team, portfolio of services and market differentiation to become the premier transformation partner for our clients. Our strategy sets out to further unlock the value that we believe exists across our Company, building on our competitive advantage of cross-practice collaboration, combining our competencies in strategy, operations, technology, and analytics with our deep industry expertise. Our employees have embraced our new, unified sense of purpose and our well-defined strategic roadmap as we strive to drive long-term shareholder value through </w:t>
      </w:r>
      <w:r>
        <w:rPr>
          <w:rFonts w:ascii="Times New Roman" w:cs="Times New Roman" w:eastAsia="Times New Roman" w:hAnsi="Times New Roman"/>
          <w:sz w:val="18"/>
          <w:szCs w:val="18"/>
          <w:b w:val="1"/>
          <w:bCs w:val="1"/>
          <w:color w:val="auto"/>
        </w:rPr>
        <w:t>sustainable organic growth and increased profitability</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900" w:right="24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Focus on Improving Margins.</w:t>
      </w:r>
      <w:r>
        <w:rPr>
          <w:rFonts w:ascii="Times New Roman" w:cs="Times New Roman" w:eastAsia="Times New Roman" w:hAnsi="Times New Roman"/>
          <w:sz w:val="18"/>
          <w:szCs w:val="18"/>
          <w:color w:val="auto"/>
        </w:rPr>
        <w:t xml:space="preserve"> We are highly focused on improving our profitability and believe 2018 will be a baseline from which we can </w:t>
      </w:r>
      <w:r>
        <w:rPr>
          <w:rFonts w:ascii="Times New Roman" w:cs="Times New Roman" w:eastAsia="Times New Roman" w:hAnsi="Times New Roman"/>
          <w:sz w:val="18"/>
          <w:szCs w:val="18"/>
          <w:b w:val="1"/>
          <w:bCs w:val="1"/>
          <w:color w:val="auto"/>
        </w:rPr>
        <w:t xml:space="preserve">sustainably grow our margins </w:t>
      </w:r>
      <w:r>
        <w:rPr>
          <w:rFonts w:ascii="Times New Roman" w:cs="Times New Roman" w:eastAsia="Times New Roman" w:hAnsi="Times New Roman"/>
          <w:sz w:val="18"/>
          <w:szCs w:val="18"/>
          <w:color w:val="auto"/>
        </w:rPr>
        <w:t>consistent with our long-term financial objectives. To achieve these objectives, we plan to further leverage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corporate platform and manage our cost structure, consistent with our strategic priorities.</w:t>
      </w:r>
    </w:p>
    <w:p>
      <w:pPr>
        <w:spacing w:after="0" w:line="77" w:lineRule="exact"/>
        <w:rPr>
          <w:rFonts w:ascii="Times New Roman" w:cs="Times New Roman" w:eastAsia="Times New Roman" w:hAnsi="Times New Roman"/>
          <w:sz w:val="18"/>
          <w:szCs w:val="18"/>
          <w:color w:val="auto"/>
        </w:rPr>
      </w:pPr>
    </w:p>
    <w:p>
      <w:pPr>
        <w:ind w:left="1920" w:right="120" w:hanging="318"/>
        <w:spacing w:after="0" w:line="262"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Beyond leveraging corporate SG&amp;A, we believe we can also </w:t>
      </w:r>
      <w:r>
        <w:rPr>
          <w:rFonts w:ascii="Times New Roman" w:cs="Times New Roman" w:eastAsia="Times New Roman" w:hAnsi="Times New Roman"/>
          <w:sz w:val="18"/>
          <w:szCs w:val="18"/>
          <w:b w:val="1"/>
          <w:bCs w:val="1"/>
          <w:color w:val="auto"/>
        </w:rPr>
        <w:t>expand our margins</w:t>
      </w:r>
      <w:r>
        <w:rPr>
          <w:rFonts w:ascii="Times New Roman" w:cs="Times New Roman" w:eastAsia="Times New Roman" w:hAnsi="Times New Roman"/>
          <w:sz w:val="18"/>
          <w:szCs w:val="18"/>
          <w:color w:val="auto"/>
        </w:rPr>
        <w:t xml:space="preserve"> at the segment level. We are focused on managing our portfolio of offerings, investing in areas that generate the highest return, and enhancing the profitability of our more mature offerings. We are continuously innovating our delivery models, driving increased flexibility and efficiency in the way we operate.</w:t>
      </w:r>
    </w:p>
    <w:p>
      <w:pPr>
        <w:sectPr>
          <w:pgSz w:w="11900" w:h="16838" w:orient="portrait"/>
          <w:cols w:equalWidth="0" w:num="1">
            <w:col w:w="11420"/>
          </w:cols>
          <w:pgMar w:left="240" w:top="270" w:right="239" w:bottom="1440" w:gutter="0" w:footer="0" w:header="0"/>
        </w:sectPr>
      </w:pPr>
    </w:p>
    <w:bookmarkStart w:id="4" w:name="page5"/>
    <w:bookmarkEnd w:id="4"/>
    <w:p>
      <w:pPr>
        <w:ind w:left="1920" w:right="140" w:hanging="318"/>
        <w:spacing w:after="0" w:line="313" w:lineRule="auto"/>
        <w:tabs>
          <w:tab w:leader="none" w:pos="1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near term, leveraging our strong cash flow, we will deploy capital to pay down our outstanding debt. However, our strategy remains that we will continue to </w:t>
      </w:r>
      <w:r>
        <w:rPr>
          <w:rFonts w:ascii="Times New Roman" w:cs="Times New Roman" w:eastAsia="Times New Roman" w:hAnsi="Times New Roman"/>
          <w:sz w:val="17"/>
          <w:szCs w:val="17"/>
          <w:b w:val="1"/>
          <w:bCs w:val="1"/>
          <w:color w:val="auto"/>
        </w:rPr>
        <w:t>enhance long-term shareholder value</w:t>
      </w:r>
      <w:r>
        <w:rPr>
          <w:rFonts w:ascii="Times New Roman" w:cs="Times New Roman" w:eastAsia="Times New Roman" w:hAnsi="Times New Roman"/>
          <w:sz w:val="17"/>
          <w:szCs w:val="17"/>
          <w:color w:val="auto"/>
        </w:rPr>
        <w:t xml:space="preserve"> through strategic investment and capital deployment.</w:t>
      </w:r>
    </w:p>
    <w:p>
      <w:pPr>
        <w:spacing w:after="0" w:line="39" w:lineRule="exact"/>
        <w:rPr>
          <w:rFonts w:ascii="Times New Roman" w:cs="Times New Roman" w:eastAsia="Times New Roman" w:hAnsi="Times New Roman"/>
          <w:sz w:val="17"/>
          <w:szCs w:val="17"/>
          <w:color w:val="auto"/>
        </w:rPr>
      </w:pPr>
    </w:p>
    <w:p>
      <w:pPr>
        <w:ind w:left="1920" w:hanging="318"/>
        <w:spacing w:after="0"/>
        <w:tabs>
          <w:tab w:leader="none" w:pos="1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we have made – and will continue to make – investments in our business to </w:t>
      </w:r>
      <w:r>
        <w:rPr>
          <w:rFonts w:ascii="Times New Roman" w:cs="Times New Roman" w:eastAsia="Times New Roman" w:hAnsi="Times New Roman"/>
          <w:sz w:val="18"/>
          <w:szCs w:val="18"/>
          <w:b w:val="1"/>
          <w:bCs w:val="1"/>
          <w:color w:val="auto"/>
        </w:rPr>
        <w:t>accelerate organic growth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 xml:space="preserve">We are enthusiastic about our prospects in 2018 as we begin to execute our strategy. </w:t>
      </w:r>
      <w:r>
        <w:rPr>
          <w:rFonts w:ascii="Times New Roman" w:cs="Times New Roman" w:eastAsia="Times New Roman" w:hAnsi="Times New Roman"/>
          <w:sz w:val="18"/>
          <w:szCs w:val="18"/>
          <w:b w:val="1"/>
          <w:bCs w:val="1"/>
          <w:color w:val="auto"/>
        </w:rPr>
        <w:t>We are focused on returning Huron to sustainable organic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increased profitability </w:t>
      </w:r>
      <w:r>
        <w:rPr>
          <w:rFonts w:ascii="Times New Roman" w:cs="Times New Roman" w:eastAsia="Times New Roman" w:hAnsi="Times New Roman"/>
          <w:sz w:val="18"/>
          <w:szCs w:val="18"/>
          <w:color w:val="auto"/>
        </w:rPr>
        <w:t>consistent with the high expectations that we share with our investors.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 Pay-for-Performance Compensation Philosophy Aligned with Our Business Strategy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Compensation Committee has maintained that our compensation programs should support the business strategy and be strongly linked to performance that ultimately drives shareholder value creation and the performance that drives that value creation. The Committee’s 2017 compensation decisions reflect its intention and desire to maintain strong alignment between pay and performance.</w:t>
      </w:r>
    </w:p>
    <w:p>
      <w:pPr>
        <w:spacing w:after="0" w:line="201" w:lineRule="exact"/>
        <w:rPr>
          <w:sz w:val="20"/>
          <w:szCs w:val="20"/>
          <w:color w:val="auto"/>
        </w:rPr>
      </w:pPr>
    </w:p>
    <w:p>
      <w:pPr>
        <w:ind w:left="440" w:right="740" w:hanging="324"/>
        <w:spacing w:after="0" w:line="284"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Shareholder Alignment.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NEO compensation programs are designed to motivate and reward performance in the long-term best interests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w:t>
      </w:r>
    </w:p>
    <w:p>
      <w:pPr>
        <w:spacing w:after="0" w:line="61" w:lineRule="exact"/>
        <w:rPr>
          <w:rFonts w:ascii="Times New Roman" w:cs="Times New Roman" w:eastAsia="Times New Roman" w:hAnsi="Times New Roman"/>
          <w:sz w:val="18"/>
          <w:szCs w:val="18"/>
          <w:color w:val="auto"/>
        </w:rPr>
      </w:pPr>
    </w:p>
    <w:p>
      <w:pPr>
        <w:ind w:left="1480" w:right="200" w:hanging="446"/>
        <w:spacing w:after="0" w:line="317" w:lineRule="auto"/>
        <w:tabs>
          <w:tab w:leader="none" w:pos="14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NEO actual incentive payouts as a percent of target have </w:t>
      </w:r>
      <w:r>
        <w:rPr>
          <w:rFonts w:ascii="Times New Roman" w:cs="Times New Roman" w:eastAsia="Times New Roman" w:hAnsi="Times New Roman"/>
          <w:sz w:val="17"/>
          <w:szCs w:val="17"/>
          <w:b w:val="1"/>
          <w:bCs w:val="1"/>
          <w:color w:val="auto"/>
        </w:rPr>
        <w:t>reflected the Company’s underperformance</w:t>
      </w:r>
      <w:r>
        <w:rPr>
          <w:rFonts w:ascii="Times New Roman" w:cs="Times New Roman" w:eastAsia="Times New Roman" w:hAnsi="Times New Roman"/>
          <w:sz w:val="17"/>
          <w:szCs w:val="17"/>
          <w:color w:val="auto"/>
        </w:rPr>
        <w:t xml:space="preserve"> against its financial goals, which is also reflected in our TSR. On average, our NEO annual incentive has paid out at </w:t>
      </w:r>
      <w:r>
        <w:rPr>
          <w:rFonts w:ascii="Times New Roman" w:cs="Times New Roman" w:eastAsia="Times New Roman" w:hAnsi="Times New Roman"/>
          <w:sz w:val="17"/>
          <w:szCs w:val="17"/>
          <w:b w:val="1"/>
          <w:bCs w:val="1"/>
          <w:color w:val="auto"/>
        </w:rPr>
        <w:t>47% of target</w:t>
      </w:r>
      <w:r>
        <w:rPr>
          <w:rFonts w:ascii="Times New Roman" w:cs="Times New Roman" w:eastAsia="Times New Roman" w:hAnsi="Times New Roman"/>
          <w:sz w:val="17"/>
          <w:szCs w:val="17"/>
          <w:color w:val="auto"/>
        </w:rPr>
        <w:t xml:space="preserve"> over the past three years.</w:t>
      </w:r>
    </w:p>
    <w:p>
      <w:pPr>
        <w:spacing w:after="0" w:line="37" w:lineRule="exact"/>
        <w:rPr>
          <w:rFonts w:ascii="Times New Roman" w:cs="Times New Roman" w:eastAsia="Times New Roman" w:hAnsi="Times New Roman"/>
          <w:sz w:val="17"/>
          <w:szCs w:val="17"/>
          <w:color w:val="auto"/>
        </w:rPr>
      </w:pPr>
    </w:p>
    <w:p>
      <w:pPr>
        <w:ind w:left="1480" w:hanging="446"/>
        <w:spacing w:after="0"/>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long-term incentive payouts have averaged </w:t>
      </w:r>
      <w:r>
        <w:rPr>
          <w:rFonts w:ascii="Times New Roman" w:cs="Times New Roman" w:eastAsia="Times New Roman" w:hAnsi="Times New Roman"/>
          <w:sz w:val="18"/>
          <w:szCs w:val="18"/>
          <w:b w:val="1"/>
          <w:bCs w:val="1"/>
          <w:color w:val="auto"/>
        </w:rPr>
        <w:t>18% of target</w:t>
      </w:r>
      <w:r>
        <w:rPr>
          <w:rFonts w:ascii="Times New Roman" w:cs="Times New Roman" w:eastAsia="Times New Roman" w:hAnsi="Times New Roman"/>
          <w:sz w:val="18"/>
          <w:szCs w:val="18"/>
          <w:color w:val="auto"/>
        </w:rPr>
        <w:t xml:space="preserve"> over the past three years.</w:t>
      </w:r>
    </w:p>
    <w:p>
      <w:pPr>
        <w:spacing w:after="0" w:line="132" w:lineRule="exact"/>
        <w:rPr>
          <w:rFonts w:ascii="Times New Roman" w:cs="Times New Roman" w:eastAsia="Times New Roman" w:hAnsi="Times New Roman"/>
          <w:sz w:val="18"/>
          <w:szCs w:val="18"/>
          <w:color w:val="auto"/>
        </w:rPr>
      </w:pPr>
    </w:p>
    <w:p>
      <w:pPr>
        <w:ind w:left="440" w:right="40" w:hanging="324"/>
        <w:spacing w:after="0" w:line="284"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Highly Performance-Based and At-Risk Compensation</w:t>
      </w:r>
      <w:r>
        <w:rPr>
          <w:rFonts w:ascii="Times New Roman" w:cs="Times New Roman" w:eastAsia="Times New Roman" w:hAnsi="Times New Roman"/>
          <w:sz w:val="18"/>
          <w:szCs w:val="18"/>
          <w:color w:val="auto"/>
        </w:rPr>
        <w:t>. A substantial portion of the compensation of our NEOs is performance based and at risk;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payouts vary in line with and are based on the Company’s financial and operational performance.</w:t>
      </w:r>
    </w:p>
    <w:p>
      <w:pPr>
        <w:spacing w:after="0" w:line="61" w:lineRule="exact"/>
        <w:rPr>
          <w:rFonts w:ascii="Times New Roman" w:cs="Times New Roman" w:eastAsia="Times New Roman" w:hAnsi="Times New Roman"/>
          <w:sz w:val="18"/>
          <w:szCs w:val="18"/>
          <w:color w:val="auto"/>
        </w:rPr>
      </w:pPr>
    </w:p>
    <w:p>
      <w:pPr>
        <w:ind w:left="1480" w:right="420" w:hanging="446"/>
        <w:spacing w:after="0" w:line="286"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average, </w:t>
      </w:r>
      <w:r>
        <w:rPr>
          <w:rFonts w:ascii="Times New Roman" w:cs="Times New Roman" w:eastAsia="Times New Roman" w:hAnsi="Times New Roman"/>
          <w:sz w:val="18"/>
          <w:szCs w:val="18"/>
          <w:b w:val="1"/>
          <w:bCs w:val="1"/>
          <w:color w:val="auto"/>
        </w:rPr>
        <w:t>80% of our CEO’s, and 69% of our other NEOs’ total compensation is at risk</w:t>
      </w:r>
      <w:r>
        <w:rPr>
          <w:rFonts w:ascii="Times New Roman" w:cs="Times New Roman" w:eastAsia="Times New Roman" w:hAnsi="Times New Roman"/>
          <w:sz w:val="18"/>
          <w:szCs w:val="18"/>
          <w:color w:val="auto"/>
        </w:rPr>
        <w:t xml:space="preserve"> and tied to financial and operational performance measures.</w:t>
      </w:r>
    </w:p>
    <w:p>
      <w:pPr>
        <w:spacing w:after="0" w:line="6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70% </w:t>
      </w:r>
      <w:r>
        <w:rPr>
          <w:rFonts w:ascii="Times New Roman" w:cs="Times New Roman" w:eastAsia="Times New Roman" w:hAnsi="Times New Roman"/>
          <w:sz w:val="18"/>
          <w:szCs w:val="18"/>
          <w:color w:val="auto"/>
        </w:rPr>
        <w:t>of the NEOs’ long-term incentive awards are</w:t>
      </w:r>
      <w:r>
        <w:rPr>
          <w:rFonts w:ascii="Times New Roman" w:cs="Times New Roman" w:eastAsia="Times New Roman" w:hAnsi="Times New Roman"/>
          <w:sz w:val="18"/>
          <w:szCs w:val="18"/>
          <w:b w:val="1"/>
          <w:bCs w:val="1"/>
          <w:color w:val="auto"/>
        </w:rPr>
        <w:t xml:space="preserve"> based on quantitative financial performance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440" w:right="160" w:hanging="324"/>
        <w:spacing w:after="0" w:line="261"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Performance Metrics and Rigor of Goals Support Corporate Strategy and Long-term Growth</w:t>
      </w:r>
      <w:r>
        <w:rPr>
          <w:rFonts w:ascii="Times New Roman" w:cs="Times New Roman" w:eastAsia="Times New Roman" w:hAnsi="Times New Roman"/>
          <w:sz w:val="18"/>
          <w:szCs w:val="18"/>
          <w:color w:val="auto"/>
        </w:rPr>
        <w:t>. Our NEOs’ incentive awards are tied to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metrics – including financial, strategic and operational – that are drivers of shareholder value. The Compensation Committee continues to align NEO compensation program with Huron’s strategic priorities that will drive long-term shareholder value creation through </w:t>
      </w:r>
      <w:r>
        <w:rPr>
          <w:rFonts w:ascii="Times New Roman" w:cs="Times New Roman" w:eastAsia="Times New Roman" w:hAnsi="Times New Roman"/>
          <w:sz w:val="18"/>
          <w:szCs w:val="18"/>
          <w:b w:val="1"/>
          <w:bCs w:val="1"/>
          <w:color w:val="auto"/>
        </w:rPr>
        <w:t>sustainable organic growth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increased profitability</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480" w:right="260" w:hanging="446"/>
        <w:spacing w:after="0" w:line="286"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goals are established early in the year after a </w:t>
      </w:r>
      <w:r>
        <w:rPr>
          <w:rFonts w:ascii="Times New Roman" w:cs="Times New Roman" w:eastAsia="Times New Roman" w:hAnsi="Times New Roman"/>
          <w:sz w:val="18"/>
          <w:szCs w:val="18"/>
          <w:b w:val="1"/>
          <w:bCs w:val="1"/>
          <w:color w:val="auto"/>
        </w:rPr>
        <w:t>rigorous review</w:t>
      </w:r>
      <w:r>
        <w:rPr>
          <w:rFonts w:ascii="Times New Roman" w:cs="Times New Roman" w:eastAsia="Times New Roman" w:hAnsi="Times New Roman"/>
          <w:sz w:val="18"/>
          <w:szCs w:val="18"/>
          <w:color w:val="auto"/>
        </w:rPr>
        <w:t xml:space="preserve"> of many factors, including but not limited to, business plan, investor expectations, level of challenge/stretch, and probability of achievement.</w:t>
      </w:r>
    </w:p>
    <w:p>
      <w:pPr>
        <w:spacing w:after="0" w:line="60" w:lineRule="exact"/>
        <w:rPr>
          <w:rFonts w:ascii="Times New Roman" w:cs="Times New Roman" w:eastAsia="Times New Roman" w:hAnsi="Times New Roman"/>
          <w:sz w:val="18"/>
          <w:szCs w:val="18"/>
          <w:color w:val="auto"/>
        </w:rPr>
      </w:pPr>
    </w:p>
    <w:p>
      <w:pPr>
        <w:ind w:left="1480" w:right="80" w:hanging="446"/>
        <w:spacing w:after="0" w:line="286"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2017 Revenue target, which we did not achieve and for which no payout was earned, reflected a </w:t>
      </w:r>
      <w:r>
        <w:rPr>
          <w:rFonts w:ascii="Times New Roman" w:cs="Times New Roman" w:eastAsia="Times New Roman" w:hAnsi="Times New Roman"/>
          <w:sz w:val="18"/>
          <w:szCs w:val="18"/>
          <w:b w:val="1"/>
          <w:bCs w:val="1"/>
          <w:color w:val="auto"/>
        </w:rPr>
        <w:t>9% increase over our 2016 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80" w:right="20" w:hanging="446"/>
        <w:spacing w:after="0" w:line="262"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our EBITDA goal for 2017 was lower than the prior year, it was </w:t>
      </w:r>
      <w:r>
        <w:rPr>
          <w:rFonts w:ascii="Times New Roman" w:cs="Times New Roman" w:eastAsia="Times New Roman" w:hAnsi="Times New Roman"/>
          <w:sz w:val="18"/>
          <w:szCs w:val="18"/>
          <w:b w:val="1"/>
          <w:bCs w:val="1"/>
          <w:color w:val="auto"/>
        </w:rPr>
        <w:t>reflective of the changing marketplace in our higher margin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Healthcare segment </w:t>
      </w:r>
      <w:r>
        <w:rPr>
          <w:rFonts w:ascii="Times New Roman" w:cs="Times New Roman" w:eastAsia="Times New Roman" w:hAnsi="Times New Roman"/>
          <w:sz w:val="18"/>
          <w:szCs w:val="18"/>
          <w:color w:val="auto"/>
        </w:rPr>
        <w:t>with significantly less performance-based fee opportunities compared to prior years and a changing mix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growth in our relatively lower margin Education and Business Advisory practices outpaced Healthcare. The challenging nature of our EBITDA goal was confirmed by our ability to achieve only threshold performance under this measure.</w:t>
      </w:r>
    </w:p>
    <w:p>
      <w:pPr>
        <w:sectPr>
          <w:pgSz w:w="11900" w:h="16838" w:orient="portrait"/>
          <w:cols w:equalWidth="0" w:num="1">
            <w:col w:w="11400"/>
          </w:cols>
          <w:pgMar w:left="240" w:top="270" w:right="259" w:bottom="1440" w:gutter="0" w:footer="0" w:header="0"/>
        </w:sectPr>
      </w:pPr>
    </w:p>
    <w:bookmarkStart w:id="5" w:name="page6"/>
    <w:bookmarkEnd w:id="5"/>
    <w:p>
      <w:pPr>
        <w:ind w:left="1480" w:hanging="446"/>
        <w:spacing w:after="0" w:line="257" w:lineRule="auto"/>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2017 Strategic Objectives set by the Committee for the NEOs were deliberate and </w:t>
      </w:r>
      <w:r>
        <w:rPr>
          <w:rFonts w:ascii="Times New Roman" w:cs="Times New Roman" w:eastAsia="Times New Roman" w:hAnsi="Times New Roman"/>
          <w:sz w:val="18"/>
          <w:szCs w:val="18"/>
          <w:b w:val="1"/>
          <w:bCs w:val="1"/>
          <w:color w:val="auto"/>
        </w:rPr>
        <w:t>focused on our continued evolution</w:t>
      </w:r>
      <w:r>
        <w:rPr>
          <w:rFonts w:ascii="Times New Roman" w:cs="Times New Roman" w:eastAsia="Times New Roman" w:hAnsi="Times New Roman"/>
          <w:sz w:val="18"/>
          <w:szCs w:val="18"/>
          <w:color w:val="auto"/>
        </w:rPr>
        <w:t>, including: executing the transformation of the Healthcare practice to effectively compete in a market environment characterized by smaller, discrete engagements, while driving innovation and technology to advance our competitive position; integrating two significant acquisitions with immediate accretive value, implementing a cohesive technology strategy; and creating meaningful firmwide/cross-practice collaboration, all of which are imperative to positioning Huron for growth. It is in recognition of these transformative actions that our Compensation Committee determined that the performance on the 2017 Strategic Objectives achieved a 125% of target payout.</w:t>
      </w:r>
    </w:p>
    <w:p>
      <w:pPr>
        <w:spacing w:after="0" w:line="90" w:lineRule="exact"/>
        <w:rPr>
          <w:rFonts w:ascii="Times New Roman" w:cs="Times New Roman" w:eastAsia="Times New Roman" w:hAnsi="Times New Roman"/>
          <w:sz w:val="18"/>
          <w:szCs w:val="18"/>
          <w:color w:val="auto"/>
        </w:rPr>
      </w:pPr>
    </w:p>
    <w:p>
      <w:pPr>
        <w:ind w:left="440" w:right="380" w:hanging="324"/>
        <w:spacing w:after="0" w:line="284"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2018 NEO Compensation Program Design Changes Reflect Ongoing Transformation</w:t>
      </w:r>
      <w:r>
        <w:rPr>
          <w:rFonts w:ascii="Times New Roman" w:cs="Times New Roman" w:eastAsia="Times New Roman" w:hAnsi="Times New Roman"/>
          <w:sz w:val="18"/>
          <w:szCs w:val="18"/>
          <w:color w:val="auto"/>
        </w:rPr>
        <w:t>. The Compensation Committee approved several changes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under “2018 Compensation Program Enhancements.”</w:t>
      </w:r>
    </w:p>
    <w:p>
      <w:pPr>
        <w:spacing w:after="0" w:line="63"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Market Competitive Pay</w:t>
      </w:r>
      <w:r>
        <w:rPr>
          <w:rFonts w:ascii="Times New Roman" w:cs="Times New Roman" w:eastAsia="Times New Roman" w:hAnsi="Times New Roman"/>
          <w:sz w:val="18"/>
          <w:szCs w:val="18"/>
          <w:color w:val="auto"/>
        </w:rPr>
        <w:t>. We deliver competitive total compensation generally targeted at the median of the peer group (+/-15%) to our NEOs.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Compensation Program Enhancements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Continuing its emphasis on ensuring our NEO compensation programs are aligned with our business strategy and shareholder expectations, </w:t>
      </w:r>
      <w:r>
        <w:rPr>
          <w:rFonts w:ascii="Times New Roman" w:cs="Times New Roman" w:eastAsia="Times New Roman" w:hAnsi="Times New Roman"/>
          <w:sz w:val="18"/>
          <w:szCs w:val="18"/>
          <w:b w:val="1"/>
          <w:bCs w:val="1"/>
          <w:color w:val="auto"/>
        </w:rPr>
        <w:t>the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approved a number of changes to the NEO compensation programs for 2018</w:t>
      </w:r>
      <w:r>
        <w:rPr>
          <w:rFonts w:ascii="Times New Roman" w:cs="Times New Roman" w:eastAsia="Times New Roman" w:hAnsi="Times New Roman"/>
          <w:sz w:val="18"/>
          <w:szCs w:val="18"/>
          <w:color w:val="auto"/>
        </w:rPr>
        <w:t>. These include:</w:t>
      </w:r>
    </w:p>
    <w:p>
      <w:pPr>
        <w:spacing w:after="0" w:line="60"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Replacing the Revenue measure in the annual incentive program with </w:t>
      </w:r>
      <w:r>
        <w:rPr>
          <w:rFonts w:ascii="Times New Roman" w:cs="Times New Roman" w:eastAsia="Times New Roman" w:hAnsi="Times New Roman"/>
          <w:sz w:val="18"/>
          <w:szCs w:val="18"/>
          <w:b w:val="1"/>
          <w:bCs w:val="1"/>
          <w:color w:val="auto"/>
        </w:rPr>
        <w:t>Organic Revenue Growth</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Incorporating a second measure – </w:t>
      </w:r>
      <w:r>
        <w:rPr>
          <w:rFonts w:ascii="Times New Roman" w:cs="Times New Roman" w:eastAsia="Times New Roman" w:hAnsi="Times New Roman"/>
          <w:sz w:val="18"/>
          <w:szCs w:val="18"/>
          <w:b w:val="1"/>
          <w:bCs w:val="1"/>
          <w:color w:val="auto"/>
        </w:rPr>
        <w:t>Revenue Growth</w:t>
      </w:r>
      <w:r>
        <w:rPr>
          <w:rFonts w:ascii="Times New Roman" w:cs="Times New Roman" w:eastAsia="Times New Roman" w:hAnsi="Times New Roman"/>
          <w:sz w:val="18"/>
          <w:szCs w:val="18"/>
          <w:color w:val="auto"/>
        </w:rPr>
        <w:t xml:space="preserve"> – in the determination of the performance for the PSUs, as a complement to Adjusted EPS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Using a </w:t>
      </w:r>
      <w:r>
        <w:rPr>
          <w:rFonts w:ascii="Times New Roman" w:cs="Times New Roman" w:eastAsia="Times New Roman" w:hAnsi="Times New Roman"/>
          <w:sz w:val="18"/>
          <w:szCs w:val="18"/>
          <w:b w:val="1"/>
          <w:bCs w:val="1"/>
          <w:color w:val="auto"/>
        </w:rPr>
        <w:t>3-year measure of performance for the PSUs</w:t>
      </w:r>
      <w:r>
        <w:rPr>
          <w:rFonts w:ascii="Times New Roman" w:cs="Times New Roman" w:eastAsia="Times New Roman" w:hAnsi="Times New Roman"/>
          <w:sz w:val="18"/>
          <w:szCs w:val="18"/>
          <w:color w:val="auto"/>
        </w:rPr>
        <w:t>, replacing our prior annual performance measurement approach</w:t>
      </w:r>
    </w:p>
    <w:p>
      <w:pPr>
        <w:spacing w:after="0" w:line="130" w:lineRule="exact"/>
        <w:rPr>
          <w:rFonts w:ascii="Times New Roman" w:cs="Times New Roman" w:eastAsia="Times New Roman" w:hAnsi="Times New Roman"/>
          <w:sz w:val="18"/>
          <w:szCs w:val="18"/>
          <w:color w:val="auto"/>
        </w:rPr>
      </w:pPr>
    </w:p>
    <w:p>
      <w:pPr>
        <w:ind w:left="900" w:right="60" w:hanging="325"/>
        <w:spacing w:after="0" w:line="28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increases to target pay levels</w:t>
      </w:r>
      <w:r>
        <w:rPr>
          <w:rFonts w:ascii="Times New Roman" w:cs="Times New Roman" w:eastAsia="Times New Roman" w:hAnsi="Times New Roman"/>
          <w:sz w:val="18"/>
          <w:szCs w:val="18"/>
          <w:color w:val="auto"/>
        </w:rPr>
        <w:t>, with the exception of Mr. Kelly, as we work to close the gap between his compensation since promotion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of the competitive market</w:t>
      </w:r>
    </w:p>
    <w:p>
      <w:pPr>
        <w:spacing w:after="0" w:line="6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peer group and replaced larger peers with smaller peers to better reflect Huron’s relative size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greater specificity and focus in the establishment of goals related to Strategic Objectives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is Aligned with Performance</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 xml:space="preserve">The alignment of our NEOs’ compensation with Company performance is shown in the table below, which illustrates our </w:t>
      </w:r>
      <w:r>
        <w:rPr>
          <w:rFonts w:ascii="Times New Roman" w:cs="Times New Roman" w:eastAsia="Times New Roman" w:hAnsi="Times New Roman"/>
          <w:sz w:val="18"/>
          <w:szCs w:val="18"/>
          <w:b w:val="1"/>
          <w:bCs w:val="1"/>
          <w:color w:val="auto"/>
        </w:rPr>
        <w:t>executives’ pay at target to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actually realized</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900" w:right="100" w:hanging="325"/>
        <w:spacing w:after="0" w:line="28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actually realized only </w:t>
      </w:r>
      <w:r>
        <w:rPr>
          <w:rFonts w:ascii="Times New Roman" w:cs="Times New Roman" w:eastAsia="Times New Roman" w:hAnsi="Times New Roman"/>
          <w:sz w:val="18"/>
          <w:szCs w:val="18"/>
          <w:b w:val="1"/>
          <w:bCs w:val="1"/>
          <w:color w:val="auto"/>
        </w:rPr>
        <w:t>60% of the target 2017 annual incentive</w:t>
      </w:r>
      <w:r>
        <w:rPr>
          <w:rFonts w:ascii="Times New Roman" w:cs="Times New Roman" w:eastAsia="Times New Roman" w:hAnsi="Times New Roman"/>
          <w:sz w:val="18"/>
          <w:szCs w:val="18"/>
          <w:color w:val="auto"/>
        </w:rPr>
        <w:t xml:space="preserve"> and only remain eligible to vest in </w:t>
      </w:r>
      <w:r>
        <w:rPr>
          <w:rFonts w:ascii="Times New Roman" w:cs="Times New Roman" w:eastAsia="Times New Roman" w:hAnsi="Times New Roman"/>
          <w:sz w:val="18"/>
          <w:szCs w:val="18"/>
          <w:b w:val="1"/>
          <w:bCs w:val="1"/>
          <w:color w:val="auto"/>
        </w:rPr>
        <w:t>28% of the targeted 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incentive award value</w:t>
      </w:r>
      <w:r>
        <w:rPr>
          <w:rFonts w:ascii="Times New Roman" w:cs="Times New Roman" w:eastAsia="Times New Roman" w:hAnsi="Times New Roman"/>
          <w:sz w:val="18"/>
          <w:szCs w:val="18"/>
          <w:color w:val="auto"/>
        </w:rPr>
        <w:t>, depending on 2019 Adjusted EPS performance.</w:t>
      </w:r>
    </w:p>
    <w:p>
      <w:pPr>
        <w:spacing w:after="0" w:line="60" w:lineRule="exact"/>
        <w:rPr>
          <w:rFonts w:ascii="Times New Roman" w:cs="Times New Roman" w:eastAsia="Times New Roman" w:hAnsi="Times New Roman"/>
          <w:sz w:val="18"/>
          <w:szCs w:val="18"/>
          <w:color w:val="auto"/>
        </w:rPr>
      </w:pPr>
    </w:p>
    <w:p>
      <w:pPr>
        <w:ind w:left="900" w:right="80" w:hanging="325"/>
        <w:spacing w:after="0" w:line="28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not achieved our EPS goals in each of the last three years, with NEOs earning only a 52% of target payout for 2016, and </w:t>
      </w:r>
      <w:r>
        <w:rPr>
          <w:rFonts w:ascii="Times New Roman" w:cs="Times New Roman" w:eastAsia="Times New Roman" w:hAnsi="Times New Roman"/>
          <w:sz w:val="18"/>
          <w:szCs w:val="18"/>
          <w:b w:val="1"/>
          <w:bCs w:val="1"/>
          <w:color w:val="auto"/>
        </w:rPr>
        <w:t>no payout</w:t>
      </w:r>
      <w:r>
        <w:rPr>
          <w:rFonts w:ascii="Times New Roman" w:cs="Times New Roman" w:eastAsia="Times New Roman" w:hAnsi="Times New Roman"/>
          <w:sz w:val="18"/>
          <w:szCs w:val="18"/>
          <w:color w:val="auto"/>
        </w:rPr>
        <w:t xml:space="preserve"> for 2015 or 2017.</w:t>
      </w:r>
    </w:p>
    <w:p>
      <w:pPr>
        <w:sectPr>
          <w:pgSz w:w="11900" w:h="16838" w:orient="portrait"/>
          <w:cols w:equalWidth="0" w:num="1">
            <w:col w:w="11360"/>
          </w:cols>
          <w:pgMar w:left="240" w:top="266"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
        </w:trPr>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2017 Target</w:t>
            </w: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2017 Realized</w:t>
            </w: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NEO</w:t>
            </w:r>
          </w:p>
        </w:tc>
        <w:tc>
          <w:tcPr>
            <w:tcW w:w="2260" w:type="dxa"/>
            <w:vAlign w:val="bottom"/>
            <w:vMerge w:val="restart"/>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220" w:type="dxa"/>
            <w:vAlign w:val="bottom"/>
          </w:tcPr>
          <w:p>
            <w:pPr>
              <w:spacing w:after="0"/>
              <w:rPr>
                <w:sz w:val="10"/>
                <w:szCs w:val="10"/>
                <w:color w:val="auto"/>
              </w:rPr>
            </w:pPr>
          </w:p>
        </w:tc>
        <w:tc>
          <w:tcPr>
            <w:tcW w:w="9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Annual</w:t>
            </w:r>
          </w:p>
        </w:tc>
        <w:tc>
          <w:tcPr>
            <w:tcW w:w="106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120" w:type="dxa"/>
            <w:vAlign w:val="bottom"/>
          </w:tcPr>
          <w:p>
            <w:pPr>
              <w:spacing w:after="0"/>
              <w:rPr>
                <w:sz w:val="10"/>
                <w:szCs w:val="10"/>
                <w:color w:val="auto"/>
              </w:rPr>
            </w:pPr>
          </w:p>
        </w:tc>
        <w:tc>
          <w:tcPr>
            <w:tcW w:w="840" w:type="dxa"/>
            <w:vAlign w:val="bottom"/>
            <w:tcBorders>
              <w:right w:val="single" w:sz="8" w:color="auto"/>
            </w:tcBorders>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20" w:type="dxa"/>
            <w:vAlign w:val="bottom"/>
          </w:tcPr>
          <w:p>
            <w:pPr>
              <w:spacing w:after="0"/>
              <w:rPr>
                <w:sz w:val="10"/>
                <w:szCs w:val="10"/>
                <w:color w:val="auto"/>
              </w:rPr>
            </w:pPr>
          </w:p>
        </w:tc>
        <w:tc>
          <w:tcPr>
            <w:tcW w:w="78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Annual</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140" w:type="dxa"/>
            <w:vAlign w:val="bottom"/>
          </w:tcPr>
          <w:p>
            <w:pPr>
              <w:spacing w:after="0"/>
              <w:rPr>
                <w:sz w:val="10"/>
                <w:szCs w:val="10"/>
                <w:color w:val="auto"/>
              </w:rPr>
            </w:pPr>
          </w:p>
        </w:tc>
        <w:tc>
          <w:tcPr>
            <w:tcW w:w="820" w:type="dxa"/>
            <w:vAlign w:val="bottom"/>
            <w:tcBorders>
              <w:right w:val="single" w:sz="8" w:color="auto"/>
            </w:tcBorders>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0"/>
                <w:szCs w:val="10"/>
                <w:color w:val="auto"/>
              </w:rPr>
            </w:pPr>
          </w:p>
        </w:tc>
        <w:tc>
          <w:tcPr>
            <w:tcW w:w="840" w:type="dxa"/>
            <w:vAlign w:val="bottom"/>
            <w:tcBorders>
              <w:right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0" w:type="dxa"/>
            <w:vAlign w:val="bottom"/>
          </w:tcPr>
          <w:p>
            <w:pPr>
              <w:spacing w:after="0"/>
              <w:rPr>
                <w:sz w:val="1"/>
                <w:szCs w:val="1"/>
                <w:color w:val="auto"/>
              </w:rPr>
            </w:pPr>
          </w:p>
        </w:tc>
      </w:tr>
      <w:tr>
        <w:trPr>
          <w:trHeight w:val="173"/>
        </w:trPr>
        <w:tc>
          <w:tcPr>
            <w:tcW w:w="32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40" w:type="dxa"/>
            <w:vAlign w:val="bottom"/>
          </w:tcPr>
          <w:p>
            <w:pPr>
              <w:spacing w:after="0"/>
              <w:rPr>
                <w:sz w:val="15"/>
                <w:szCs w:val="15"/>
                <w:color w:val="auto"/>
              </w:rPr>
            </w:pPr>
          </w:p>
        </w:tc>
        <w:tc>
          <w:tcPr>
            <w:tcW w:w="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Roth</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$ 900,000</w:t>
            </w:r>
          </w:p>
        </w:tc>
        <w:tc>
          <w:tcPr>
            <w:tcW w:w="2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$990,000</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2,699,973</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4,589,973</w:t>
            </w:r>
          </w:p>
        </w:tc>
        <w:tc>
          <w:tcPr>
            <w:tcW w:w="1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$ 900,000</w:t>
            </w: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$595,980</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$ 907,896</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2,403,876</w:t>
            </w:r>
          </w:p>
        </w:tc>
        <w:tc>
          <w:tcPr>
            <w:tcW w:w="180" w:type="dxa"/>
            <w:vAlign w:val="bottom"/>
            <w:vMerge w:val="continue"/>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Hussey</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9"/>
              </w:rPr>
              <w:t>$ 743,750</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$743,750</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2,312,472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3,799,972</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$ 743,750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$451,500</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$ 777,595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1,972,845</w:t>
            </w:r>
          </w:p>
        </w:tc>
        <w:tc>
          <w:tcPr>
            <w:tcW w:w="10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Kelly</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$ 323,333</w:t>
            </w: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$226,333</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344,197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893,863</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$ 323,333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$136,955</w:t>
            </w:r>
          </w:p>
        </w:tc>
        <w:tc>
          <w:tcPr>
            <w:tcW w:w="106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$ 115,740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576,028</w:t>
            </w:r>
          </w:p>
        </w:tc>
        <w:tc>
          <w:tcPr>
            <w:tcW w:w="1020" w:type="dxa"/>
            <w:vAlign w:val="bottom"/>
            <w:tcBorders>
              <w:right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Ratekin</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9"/>
              </w:rPr>
              <w:t>$ 400,000</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460,003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1,060,003</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$ 400,000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$120,400</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$ 154,681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675,081</w:t>
            </w:r>
          </w:p>
        </w:tc>
        <w:tc>
          <w:tcPr>
            <w:tcW w:w="1020" w:type="dxa"/>
            <w:vAlign w:val="bottom"/>
            <w:tcBorders>
              <w:bottom w:val="single" w:sz="8" w:color="auto"/>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right="36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unrealized value is in the form of unearned PSUs under our long-term incentive program. For illustration, the table below compares Mr. Roth’s targeted long-term values and realizable values for the prior three years.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900" w:type="dxa"/>
            <w:vAlign w:val="bottom"/>
            <w:gridSpan w:val="2"/>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Realizable Value as of 4/16/18</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3"/>
        </w:trPr>
        <w:tc>
          <w:tcPr>
            <w:tcW w:w="4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Roth LTI</w:t>
            </w:r>
          </w:p>
        </w:tc>
        <w:tc>
          <w:tcPr>
            <w:tcW w:w="10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Roth LTI</w:t>
            </w:r>
            <w:r>
              <w:rPr>
                <w:rFonts w:ascii="Times New Roman" w:cs="Times New Roman" w:eastAsia="Times New Roman" w:hAnsi="Times New Roman"/>
                <w:sz w:val="12"/>
                <w:szCs w:val="12"/>
                <w:b w:val="1"/>
                <w:bCs w:val="1"/>
                <w:color w:val="auto"/>
                <w:w w:val="98"/>
              </w:rPr>
              <w:t>2</w:t>
            </w:r>
          </w:p>
        </w:tc>
        <w:tc>
          <w:tcPr>
            <w:tcW w:w="0" w:type="dxa"/>
            <w:vAlign w:val="bottom"/>
          </w:tcPr>
          <w:p>
            <w:pPr>
              <w:spacing w:after="0"/>
              <w:rPr>
                <w:sz w:val="1"/>
                <w:szCs w:val="1"/>
                <w:color w:val="auto"/>
              </w:rPr>
            </w:pPr>
          </w:p>
        </w:tc>
      </w:tr>
      <w:tr>
        <w:trPr>
          <w:trHeight w:val="210"/>
        </w:trPr>
        <w:tc>
          <w:tcPr>
            <w:tcW w:w="1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$2,662,934</w:t>
            </w:r>
          </w:p>
        </w:tc>
        <w:tc>
          <w:tcPr>
            <w:tcW w:w="10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$357,764</w:t>
            </w:r>
          </w:p>
        </w:tc>
        <w:tc>
          <w:tcPr>
            <w:tcW w:w="0" w:type="dxa"/>
            <w:vAlign w:val="bottom"/>
          </w:tcPr>
          <w:p>
            <w:pPr>
              <w:spacing w:after="0"/>
              <w:rPr>
                <w:sz w:val="1"/>
                <w:szCs w:val="1"/>
                <w:color w:val="auto"/>
              </w:rPr>
            </w:pPr>
          </w:p>
        </w:tc>
      </w:tr>
      <w:tr>
        <w:trPr>
          <w:trHeight w:val="216"/>
        </w:trPr>
        <w:tc>
          <w:tcPr>
            <w:tcW w:w="2040" w:type="dxa"/>
            <w:vAlign w:val="bottom"/>
            <w:gridSpan w:val="2"/>
          </w:tcPr>
          <w:p>
            <w:pPr>
              <w:jc w:val="center"/>
              <w:ind w:left="1234"/>
              <w:spacing w:after="0"/>
              <w:rPr>
                <w:sz w:val="20"/>
                <w:szCs w:val="20"/>
                <w:color w:val="auto"/>
              </w:rPr>
            </w:pPr>
            <w:r>
              <w:rPr>
                <w:rFonts w:ascii="Times New Roman" w:cs="Times New Roman" w:eastAsia="Times New Roman" w:hAnsi="Times New Roman"/>
                <w:sz w:val="18"/>
                <w:szCs w:val="18"/>
                <w:color w:val="auto"/>
                <w:w w:val="99"/>
              </w:rPr>
              <w:t>2016</w:t>
            </w:r>
          </w:p>
        </w:tc>
        <w:tc>
          <w:tcPr>
            <w:tcW w:w="2240" w:type="dxa"/>
            <w:vAlign w:val="bottom"/>
          </w:tcPr>
          <w:p>
            <w:pPr>
              <w:spacing w:after="0"/>
              <w:rPr>
                <w:sz w:val="18"/>
                <w:szCs w:val="18"/>
                <w:color w:val="auto"/>
              </w:rPr>
            </w:pPr>
          </w:p>
        </w:tc>
        <w:tc>
          <w:tcPr>
            <w:tcW w:w="150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color w:val="auto"/>
                <w:w w:val="98"/>
              </w:rPr>
              <w:t>$1,939,930</w:t>
            </w:r>
          </w:p>
        </w:tc>
        <w:tc>
          <w:tcPr>
            <w:tcW w:w="2900" w:type="dxa"/>
            <w:vAlign w:val="bottom"/>
            <w:gridSpan w:val="2"/>
          </w:tcPr>
          <w:p>
            <w:pPr>
              <w:jc w:val="center"/>
              <w:ind w:left="914"/>
              <w:spacing w:after="0"/>
              <w:rPr>
                <w:sz w:val="20"/>
                <w:szCs w:val="20"/>
                <w:color w:val="auto"/>
              </w:rPr>
            </w:pPr>
            <w:r>
              <w:rPr>
                <w:rFonts w:ascii="Times New Roman" w:cs="Times New Roman" w:eastAsia="Times New Roman" w:hAnsi="Times New Roman"/>
                <w:sz w:val="18"/>
                <w:szCs w:val="18"/>
                <w:color w:val="auto"/>
                <w:w w:val="97"/>
              </w:rPr>
              <w:t>$947,534</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jc w:val="center"/>
              <w:ind w:left="1234"/>
              <w:spacing w:after="0"/>
              <w:rPr>
                <w:sz w:val="20"/>
                <w:szCs w:val="20"/>
                <w:color w:val="auto"/>
              </w:rPr>
            </w:pPr>
            <w:r>
              <w:rPr>
                <w:rFonts w:ascii="Times New Roman" w:cs="Times New Roman" w:eastAsia="Times New Roman" w:hAnsi="Times New Roman"/>
                <w:sz w:val="18"/>
                <w:szCs w:val="18"/>
                <w:color w:val="auto"/>
                <w:w w:val="99"/>
              </w:rPr>
              <w:t>2017</w:t>
            </w:r>
          </w:p>
        </w:tc>
        <w:tc>
          <w:tcPr>
            <w:tcW w:w="2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$2,699,973</w:t>
            </w:r>
          </w:p>
        </w:tc>
        <w:tc>
          <w:tcPr>
            <w:tcW w:w="2900" w:type="dxa"/>
            <w:vAlign w:val="bottom"/>
            <w:gridSpan w:val="2"/>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7"/>
              </w:rPr>
              <w:t>$907,896</w:t>
            </w:r>
          </w:p>
        </w:tc>
        <w:tc>
          <w:tcPr>
            <w:tcW w:w="0" w:type="dxa"/>
            <w:vAlign w:val="bottom"/>
          </w:tcPr>
          <w:p>
            <w:pPr>
              <w:spacing w:after="0"/>
              <w:rPr>
                <w:sz w:val="1"/>
                <w:szCs w:val="1"/>
                <w:color w:val="auto"/>
              </w:rPr>
            </w:pPr>
          </w:p>
        </w:tc>
      </w:tr>
      <w:tr>
        <w:trPr>
          <w:trHeight w:val="216"/>
        </w:trPr>
        <w:tc>
          <w:tcPr>
            <w:tcW w:w="42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5"/>
              </w:rPr>
              <w:t>3-Year Total</w:t>
            </w:r>
          </w:p>
        </w:tc>
        <w:tc>
          <w:tcPr>
            <w:tcW w:w="150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b w:val="1"/>
                <w:bCs w:val="1"/>
                <w:color w:val="auto"/>
                <w:w w:val="98"/>
              </w:rPr>
              <w:t>$7,302,837</w:t>
            </w:r>
          </w:p>
        </w:tc>
        <w:tc>
          <w:tcPr>
            <w:tcW w:w="2900" w:type="dxa"/>
            <w:vAlign w:val="bottom"/>
            <w:gridSpan w:val="2"/>
          </w:tcPr>
          <w:p>
            <w:pPr>
              <w:jc w:val="center"/>
              <w:ind w:left="914"/>
              <w:spacing w:after="0"/>
              <w:rPr>
                <w:sz w:val="20"/>
                <w:szCs w:val="20"/>
                <w:color w:val="auto"/>
              </w:rPr>
            </w:pPr>
            <w:r>
              <w:rPr>
                <w:rFonts w:ascii="Times New Roman" w:cs="Times New Roman" w:eastAsia="Times New Roman" w:hAnsi="Times New Roman"/>
                <w:sz w:val="18"/>
                <w:szCs w:val="18"/>
                <w:b w:val="1"/>
                <w:bCs w:val="1"/>
                <w:color w:val="auto"/>
              </w:rPr>
              <w:t>$2,213,194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Realizable as a % of Grant Value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center"/>
              <w:ind w:left="934"/>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 Using 4/16/18 closing price of $39.25.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Assumes historical average payout percentage of 18% of target for unvested tranches.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Advisory Firm Recommendations</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In keeping with prior years, </w:t>
      </w:r>
      <w:r>
        <w:rPr>
          <w:rFonts w:ascii="Times New Roman" w:cs="Times New Roman" w:eastAsia="Times New Roman" w:hAnsi="Times New Roman"/>
          <w:sz w:val="18"/>
          <w:szCs w:val="18"/>
          <w:b w:val="1"/>
          <w:bCs w:val="1"/>
          <w:color w:val="auto"/>
        </w:rPr>
        <w:t>Glass Lewis once again recommended that shareholders vote in accordance with our Board’s recommendation</w:t>
      </w:r>
      <w:r>
        <w:rPr>
          <w:rFonts w:ascii="Times New Roman" w:cs="Times New Roman" w:eastAsia="Times New Roman" w:hAnsi="Times New Roman"/>
          <w:sz w:val="18"/>
          <w:szCs w:val="18"/>
          <w:color w:val="auto"/>
        </w:rPr>
        <w:t xml:space="preserve"> to support our Say-On-Pay Proposal. Moreover, the proxy advisory firm was </w:t>
      </w:r>
      <w:r>
        <w:rPr>
          <w:rFonts w:ascii="Times New Roman" w:cs="Times New Roman" w:eastAsia="Times New Roman" w:hAnsi="Times New Roman"/>
          <w:sz w:val="18"/>
          <w:szCs w:val="18"/>
          <w:b w:val="1"/>
          <w:bCs w:val="1"/>
          <w:color w:val="auto"/>
        </w:rPr>
        <w:t>complimentary of the structural changes we implemented</w:t>
      </w:r>
      <w:r>
        <w:rPr>
          <w:rFonts w:ascii="Times New Roman" w:cs="Times New Roman" w:eastAsia="Times New Roman" w:hAnsi="Times New Roman"/>
          <w:sz w:val="18"/>
          <w:szCs w:val="18"/>
          <w:color w:val="auto"/>
        </w:rPr>
        <w:t xml:space="preserve"> under the long-term incentive program for fiscal 2018. However, ISS unexpectedly recommended voting “Against” the proposal.</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ISS Quantitative Model Scores the Company Favorably in Two of Three Tests</w:t>
      </w:r>
      <w:r>
        <w:rPr>
          <w:rFonts w:ascii="Times New Roman" w:cs="Times New Roman" w:eastAsia="Times New Roman" w:hAnsi="Times New Roman"/>
          <w:sz w:val="18"/>
          <w:szCs w:val="18"/>
          <w:color w:val="auto"/>
        </w:rPr>
        <w:t>. Despite ISS concluding that it found misalignment of our CEO pay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according to the firm’s quantitative model, we received a Low concern rating on the one-year look back, Multiple of Median, and five-year look back, Pay to TSR Alignment tests. The proxy advisory firm’s three-year look back test, Relative Degree of Alignment, on which we did not receive a favorable concern rating, relies exclusively on granted pay. Moreover, the ISS selected peer group that is utilized under this test is based on the firm’s proprietary methodology, can vary from year to year, and companies like Huron are unable to preview the ISS peer group until the final ISS Research Report is published.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its negative recommendation, ISS cited the following positive program features:</w:t>
      </w:r>
    </w:p>
    <w:p>
      <w:pPr>
        <w:spacing w:after="0" w:line="127" w:lineRule="exact"/>
        <w:rPr>
          <w:sz w:val="20"/>
          <w:szCs w:val="20"/>
          <w:color w:val="auto"/>
        </w:rPr>
      </w:pPr>
    </w:p>
    <w:p>
      <w:pPr>
        <w:ind w:left="900" w:right="100" w:hanging="325"/>
        <w:spacing w:after="0" w:line="28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incentive largely based on </w:t>
      </w:r>
      <w:r>
        <w:rPr>
          <w:rFonts w:ascii="Times New Roman" w:cs="Times New Roman" w:eastAsia="Times New Roman" w:hAnsi="Times New Roman"/>
          <w:sz w:val="18"/>
          <w:szCs w:val="18"/>
          <w:b w:val="1"/>
          <w:bCs w:val="1"/>
          <w:color w:val="auto"/>
        </w:rPr>
        <w:t>pre-set financial goals</w:t>
      </w:r>
      <w:r>
        <w:rPr>
          <w:rFonts w:ascii="Times New Roman" w:cs="Times New Roman" w:eastAsia="Times New Roman" w:hAnsi="Times New Roman"/>
          <w:sz w:val="18"/>
          <w:szCs w:val="18"/>
          <w:color w:val="auto"/>
        </w:rPr>
        <w:t xml:space="preserve"> (we believe in transparency with shareholders and provide clear disclosure on metrics, goals weights and achievements).</w:t>
      </w:r>
    </w:p>
    <w:p>
      <w:pPr>
        <w:spacing w:after="0" w:line="6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Long-term incentive awards are </w:t>
      </w:r>
      <w:r>
        <w:rPr>
          <w:rFonts w:ascii="Times New Roman" w:cs="Times New Roman" w:eastAsia="Times New Roman" w:hAnsi="Times New Roman"/>
          <w:sz w:val="18"/>
          <w:szCs w:val="18"/>
          <w:b w:val="1"/>
          <w:bCs w:val="1"/>
          <w:color w:val="auto"/>
        </w:rPr>
        <w:t>predominantly based on financial performance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Majority of performance-based awards forfeited </w:t>
      </w:r>
      <w:r>
        <w:rPr>
          <w:rFonts w:ascii="Times New Roman" w:cs="Times New Roman" w:eastAsia="Times New Roman" w:hAnsi="Times New Roman"/>
          <w:sz w:val="18"/>
          <w:szCs w:val="18"/>
          <w:color w:val="auto"/>
        </w:rPr>
        <w:t>due to below threshold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Beginning in 2018, long-term incentives will </w:t>
      </w:r>
      <w:r>
        <w:rPr>
          <w:rFonts w:ascii="Times New Roman" w:cs="Times New Roman" w:eastAsia="Times New Roman" w:hAnsi="Times New Roman"/>
          <w:sz w:val="18"/>
          <w:szCs w:val="18"/>
          <w:b w:val="1"/>
          <w:bCs w:val="1"/>
          <w:color w:val="auto"/>
        </w:rPr>
        <w:t>utilize a 3-year performance period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strong compensation governance best practices</w:t>
      </w:r>
      <w:r>
        <w:rPr>
          <w:rFonts w:ascii="Times New Roman" w:cs="Times New Roman" w:eastAsia="Times New Roman" w:hAnsi="Times New Roman"/>
          <w:sz w:val="18"/>
          <w:szCs w:val="18"/>
          <w:color w:val="auto"/>
        </w:rPr>
        <w:t xml:space="preserve"> to further mitigate compensation risk:</w:t>
      </w:r>
    </w:p>
    <w:p>
      <w:pPr>
        <w:spacing w:after="0" w:line="134" w:lineRule="exact"/>
        <w:rPr>
          <w:rFonts w:ascii="Times New Roman" w:cs="Times New Roman" w:eastAsia="Times New Roman" w:hAnsi="Times New Roman"/>
          <w:sz w:val="18"/>
          <w:szCs w:val="18"/>
          <w:color w:val="auto"/>
        </w:rPr>
      </w:pPr>
    </w:p>
    <w:p>
      <w:pPr>
        <w:ind w:left="1920" w:hanging="318"/>
        <w:spacing w:after="0"/>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single-trigger CIC benefits</w:t>
      </w:r>
    </w:p>
    <w:p>
      <w:pPr>
        <w:spacing w:after="0" w:line="130" w:lineRule="exact"/>
        <w:rPr>
          <w:rFonts w:ascii="Times New Roman" w:cs="Times New Roman" w:eastAsia="Times New Roman" w:hAnsi="Times New Roman"/>
          <w:sz w:val="18"/>
          <w:szCs w:val="18"/>
          <w:color w:val="auto"/>
        </w:rPr>
      </w:pPr>
    </w:p>
    <w:p>
      <w:pPr>
        <w:ind w:left="1920" w:hanging="318"/>
        <w:spacing w:after="0"/>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w:t>
      </w:r>
    </w:p>
    <w:p>
      <w:pPr>
        <w:spacing w:after="0" w:line="130" w:lineRule="exact"/>
        <w:rPr>
          <w:rFonts w:ascii="Times New Roman" w:cs="Times New Roman" w:eastAsia="Times New Roman" w:hAnsi="Times New Roman"/>
          <w:sz w:val="18"/>
          <w:szCs w:val="18"/>
          <w:color w:val="auto"/>
        </w:rPr>
      </w:pPr>
    </w:p>
    <w:p>
      <w:pPr>
        <w:ind w:left="1920" w:hanging="318"/>
        <w:spacing w:after="0"/>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Anti-hedging/Anti-pledging policies</w:t>
      </w:r>
    </w:p>
    <w:p>
      <w:pPr>
        <w:spacing w:after="0" w:line="130" w:lineRule="exact"/>
        <w:rPr>
          <w:rFonts w:ascii="Times New Roman" w:cs="Times New Roman" w:eastAsia="Times New Roman" w:hAnsi="Times New Roman"/>
          <w:sz w:val="18"/>
          <w:szCs w:val="18"/>
          <w:color w:val="auto"/>
        </w:rPr>
      </w:pPr>
    </w:p>
    <w:p>
      <w:pPr>
        <w:ind w:left="1920" w:hanging="318"/>
        <w:spacing w:after="0"/>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w:t>
      </w:r>
    </w:p>
    <w:p>
      <w:pPr>
        <w:sectPr>
          <w:pgSz w:w="11900" w:h="16838" w:orient="portrait"/>
          <w:cols w:equalWidth="0" w:num="1">
            <w:col w:w="11440"/>
          </w:cols>
          <w:pgMar w:left="240" w:top="263" w:right="21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believes that the 2017 compensation realized by our NEOs appropriately recognized that both (i) our NEOs pivoted the Company’s strategies with transformational initiatives and accomplishments in an extremely challenging environment that is rapidly evolving and (ii) our stock price performance was negative. Moreover, the Committee’s commitment to align management’s interests with that of shareholders is demonstrated by our strong historical Say-on-Pay results and secondly reinforced by the numerous positive changes to the executive pay program beginning in 2018.</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important to us.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 request that you vote “For” proposal 2, in support of our “Say-on-Pay.”</w:t>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lvl w:ilvl="1">
      <w:lvlJc w:val="left"/>
      <w:lvlText w:val="(%2)"/>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
      <w:numFmt w:val="bullet"/>
      <w:start w:val="1"/>
    </w:lvl>
    <w:lvl w:ilvl="1">
      <w:lvlJc w:val="left"/>
      <w:lvlText w:val="(%2)"/>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decimal"/>
      <w:start w:val="3"/>
    </w:lvl>
  </w:abstractNum>
  <w:abstractNum w:abstractNumId="12">
    <w:nsid w:val="3F2DBA31"/>
    <w:multiLevelType w:val="hybridMultilevel"/>
    <w:lvl w:ilvl="0">
      <w:lvlJc w:val="left"/>
      <w:lvlText w:val="(%1)"/>
      <w:numFmt w:val="decimal"/>
      <w:start w:val="4"/>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lvl w:ilvl="1">
      <w:lvlJc w:val="left"/>
      <w:lvlText w:val="(%2)"/>
      <w:numFmt w:val="lowerRoman"/>
      <w:start w:val="2"/>
    </w:lvl>
    <w:lvl w:ilvl="2">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lvl w:ilvl="1">
      <w:lvlJc w:val="left"/>
      <w:lvlText w:val="•"/>
      <w:numFmt w:val="bullet"/>
      <w:start w:val="1"/>
    </w:lvl>
  </w:abstractNum>
  <w:abstractNum w:abstractNumId="19">
    <w:nsid w:val="721DA317"/>
    <w:multiLevelType w:val="hybridMultilevel"/>
    <w:lvl w:ilvl="0">
      <w:lvlJc w:val="left"/>
      <w:lvlText w:val="•"/>
      <w:numFmt w:val="bullet"/>
      <w:start w:val="1"/>
    </w:lvl>
    <w:lvl w:ilvl="1">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2019-12-06T23:27:49Z</dcterms:created>
  <dcterms:modified xsi:type="dcterms:W3CDTF">2019-12-06T23:27:49Z</dcterms:modified>
</cp:coreProperties>
</file>