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797560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711835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184785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241935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6" w:lineRule="exact"/>
        <w:rPr>
          <w:sz w:val="24"/>
          <w:szCs w:val="24"/>
          <w:color w:val="auto"/>
        </w:rPr>
      </w:pPr>
    </w:p>
    <w:p>
      <w:pPr>
        <w:ind w:left="680" w:right="1060" w:hanging="645"/>
        <w:spacing w:after="0" w:line="262"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680" w:right="1040" w:hanging="645"/>
        <w:spacing w:after="0" w:line="262"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000-50976</w:t>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H</w:t>
      </w:r>
      <w:r>
        <w:rPr>
          <w:rFonts w:ascii="Times New Roman" w:cs="Times New Roman" w:eastAsia="Times New Roman" w:hAnsi="Times New Roman"/>
          <w:sz w:val="36"/>
          <w:szCs w:val="36"/>
          <w:b w:val="1"/>
          <w:bCs w:val="1"/>
          <w:color w:val="auto"/>
        </w:rPr>
        <w:t>URON</w:t>
      </w:r>
      <w:r>
        <w:rPr>
          <w:rFonts w:ascii="Times New Roman" w:cs="Times New Roman" w:eastAsia="Times New Roman" w:hAnsi="Times New Roman"/>
          <w:sz w:val="43"/>
          <w:szCs w:val="43"/>
          <w:b w:val="1"/>
          <w:bCs w:val="1"/>
          <w:color w:val="auto"/>
        </w:rPr>
        <w:t xml:space="preserve"> C</w:t>
      </w:r>
      <w:r>
        <w:rPr>
          <w:rFonts w:ascii="Times New Roman" w:cs="Times New Roman" w:eastAsia="Times New Roman" w:hAnsi="Times New Roman"/>
          <w:sz w:val="36"/>
          <w:szCs w:val="36"/>
          <w:b w:val="1"/>
          <w:bCs w:val="1"/>
          <w:color w:val="auto"/>
        </w:rPr>
        <w:t>ONSULTING</w:t>
      </w:r>
      <w:r>
        <w:rPr>
          <w:rFonts w:ascii="Times New Roman" w:cs="Times New Roman" w:eastAsia="Times New Roman" w:hAnsi="Times New Roman"/>
          <w:sz w:val="43"/>
          <w:szCs w:val="43"/>
          <w:b w:val="1"/>
          <w:bCs w:val="1"/>
          <w:color w:val="auto"/>
        </w:rPr>
        <w:t xml:space="preserve"> G</w:t>
      </w:r>
      <w:r>
        <w:rPr>
          <w:rFonts w:ascii="Times New Roman" w:cs="Times New Roman" w:eastAsia="Times New Roman" w:hAnsi="Times New Roman"/>
          <w:sz w:val="36"/>
          <w:szCs w:val="36"/>
          <w:b w:val="1"/>
          <w:bCs w:val="1"/>
          <w:color w:val="auto"/>
        </w:rPr>
        <w:t>ROUP</w:t>
      </w:r>
      <w:r>
        <w:rPr>
          <w:rFonts w:ascii="Times New Roman" w:cs="Times New Roman" w:eastAsia="Times New Roman" w:hAnsi="Times New Roman"/>
          <w:sz w:val="43"/>
          <w:szCs w:val="43"/>
          <w:b w:val="1"/>
          <w:bCs w:val="1"/>
          <w:color w:val="auto"/>
        </w:rPr>
        <w:t xml:space="preserve"> I</w:t>
      </w:r>
      <w:r>
        <w:rPr>
          <w:rFonts w:ascii="Times New Roman" w:cs="Times New Roman" w:eastAsia="Times New Roman" w:hAnsi="Times New Roman"/>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-297815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170815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00" w:type="dxa"/>
            <w:vAlign w:val="bottom"/>
          </w:tcPr>
          <w:p>
            <w:pPr>
              <w:jc w:val="center"/>
              <w:ind w:left="3459"/>
              <w:spacing w:after="0"/>
              <w:rPr>
                <w:sz w:val="20"/>
                <w:szCs w:val="20"/>
                <w:color w:val="auto"/>
              </w:rPr>
            </w:pPr>
            <w:r>
              <w:rPr>
                <w:rFonts w:ascii="Times New Roman" w:cs="Times New Roman" w:eastAsia="Times New Roman" w:hAnsi="Times New Roman"/>
                <w:sz w:val="18"/>
                <w:szCs w:val="18"/>
                <w:b w:val="1"/>
                <w:bCs w:val="1"/>
                <w:color w:val="auto"/>
                <w:w w:val="98"/>
              </w:rPr>
              <w:t>01-0666114</w:t>
            </w:r>
          </w:p>
        </w:tc>
      </w:tr>
      <w:tr>
        <w:trPr>
          <w:trHeight w:val="178"/>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0" w:type="dxa"/>
            <w:vAlign w:val="bottom"/>
          </w:tcPr>
          <w:p>
            <w:pPr>
              <w:jc w:val="center"/>
              <w:ind w:left="347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00" w:type="dxa"/>
            <w:vAlign w:val="bottom"/>
          </w:tcPr>
          <w:p>
            <w:pPr>
              <w:jc w:val="center"/>
              <w:ind w:left="347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8"/>
                <w:szCs w:val="18"/>
                <w:b w:val="1"/>
                <w:bCs w:val="1"/>
                <w:color w:val="auto"/>
                <w:w w:val="98"/>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Chicago, Illinois</w:t>
            </w:r>
          </w:p>
        </w:tc>
      </w:tr>
      <w:tr>
        <w:trPr>
          <w:trHeight w:val="214"/>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Times New Roman" w:cs="Times New Roman" w:eastAsia="Times New Roman" w:hAnsi="Times New Roman"/>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190"/>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Times New Roman" w:cs="Times New Roman" w:eastAsia="Times New Roman" w:hAnsi="Times New Roman"/>
                <w:sz w:val="18"/>
                <w:szCs w:val="18"/>
                <w:b w:val="1"/>
                <w:bCs w:val="1"/>
                <w:color w:val="auto"/>
              </w:rPr>
              <w:t>(312) 583-8700</w:t>
            </w:r>
          </w:p>
        </w:tc>
      </w:tr>
      <w:tr>
        <w:trPr>
          <w:trHeight w:val="190"/>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160655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2"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185" w:lineRule="exact"/>
        <w:rPr>
          <w:sz w:val="24"/>
          <w:szCs w:val="24"/>
          <w:color w:val="auto"/>
        </w:rPr>
      </w:pPr>
    </w:p>
    <w:p>
      <w:pPr>
        <w:sectPr>
          <w:pgSz w:w="11900" w:h="16838" w:orient="portrait"/>
          <w:cols w:equalWidth="0" w:num="4">
            <w:col w:w="1660" w:space="720"/>
            <w:col w:w="4300" w:space="720"/>
            <w:col w:w="2260" w:space="720"/>
            <w:col w:w="1000"/>
          </w:cols>
          <w:pgMar w:left="240" w:top="229"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8"/>
          <w:szCs w:val="18"/>
          <w:color w:val="auto"/>
        </w:rPr>
        <w:t>o</w:t>
      </w:r>
    </w:p>
    <w:p>
      <w:pPr>
        <w:spacing w:after="0" w:line="75" w:lineRule="exact"/>
        <w:rPr>
          <w:sz w:val="24"/>
          <w:szCs w:val="24"/>
          <w:color w:val="auto"/>
        </w:rPr>
      </w:pPr>
    </w:p>
    <w:p>
      <w:pPr>
        <w:sectPr>
          <w:pgSz w:w="11900" w:h="16838" w:orient="portrait"/>
          <w:cols w:equalWidth="0" w:num="4">
            <w:col w:w="1660" w:space="720"/>
            <w:col w:w="4300" w:space="720"/>
            <w:col w:w="2260" w:space="720"/>
            <w:col w:w="1000"/>
          </w:cols>
          <w:pgMar w:left="240" w:top="229" w:right="27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Yes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sectPr>
          <w:pgSz w:w="11900" w:h="16838" w:orient="portrait"/>
          <w:cols w:equalWidth="0" w:num="4">
            <w:col w:w="8180" w:space="180"/>
            <w:col w:w="440" w:space="180"/>
            <w:col w:w="220" w:space="100"/>
            <w:col w:w="2080"/>
          </w:cols>
          <w:pgMar w:left="240" w:top="22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26, 2016, 21,723,935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189230</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102870</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3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Earnings and Other Comprehensive Income</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w:t>
              </w:r>
            </w:hyperlink>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Consolidated Statement of Stockholders’ Equity</w:t>
              </w:r>
            </w:hyperlink>
          </w:p>
        </w:tc>
        <w:tc>
          <w:tcPr>
            <w:tcW w:w="1700" w:type="dxa"/>
            <w:vAlign w:val="bottom"/>
            <w:tcBorders>
              <w:top w:val="single" w:sz="8" w:color="0000EE"/>
            </w:tcBorders>
            <w:gridSpan w:val="2"/>
          </w:tcPr>
          <w:p>
            <w:pPr>
              <w:spacing w:after="0"/>
              <w:rPr>
                <w:sz w:val="21"/>
                <w:szCs w:val="21"/>
                <w:color w:val="auto"/>
              </w:rPr>
            </w:pPr>
          </w:p>
        </w:tc>
        <w:tc>
          <w:tcPr>
            <w:tcW w:w="35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4"/>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4320" w:type="dxa"/>
            <w:vAlign w:val="bottom"/>
            <w:gridSpan w:val="1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4"/>
          </w:tcPr>
          <w:p>
            <w:pPr>
              <w:spacing w:after="0"/>
              <w:rPr>
                <w:rFonts w:ascii="Times New Roman" w:cs="Times New Roman" w:eastAsia="Times New Roman" w:hAnsi="Times New Roman"/>
                <w:sz w:val="18"/>
                <w:szCs w:val="18"/>
                <w:color w:val="0000EE"/>
                <w:w w:val="94"/>
              </w:rPr>
            </w:pPr>
            <w:hyperlink w:anchor="page48">
              <w:r>
                <w:rPr>
                  <w:rFonts w:ascii="Times New Roman" w:cs="Times New Roman" w:eastAsia="Times New Roman" w:hAnsi="Times New Roman"/>
                  <w:sz w:val="18"/>
                  <w:szCs w:val="18"/>
                  <w:color w:val="0000EE"/>
                  <w:w w:val="9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4"/>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Unregistered Sales of Equity Securities and Use of Proceeds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2300" w:type="dxa"/>
            <w:vAlign w:val="bottom"/>
            <w:gridSpan w:val="7"/>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4"/>
          </w:tcPr>
          <w:p>
            <w:pPr>
              <w:spacing w:after="0"/>
              <w:rPr>
                <w:rFonts w:ascii="Times New Roman" w:cs="Times New Roman" w:eastAsia="Times New Roman" w:hAnsi="Times New Roman"/>
                <w:sz w:val="18"/>
                <w:szCs w:val="18"/>
                <w:color w:val="0000EE"/>
                <w:w w:val="95"/>
              </w:rPr>
            </w:pPr>
            <w:hyperlink w:anchor="page49">
              <w:r>
                <w:rPr>
                  <w:rFonts w:ascii="Times New Roman" w:cs="Times New Roman" w:eastAsia="Times New Roman" w:hAnsi="Times New Roman"/>
                  <w:sz w:val="18"/>
                  <w:szCs w:val="18"/>
                  <w:color w:val="0000EE"/>
                  <w:w w:val="95"/>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4"/>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48</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Times New Roman" w:cs="Times New Roman" w:eastAsia="Times New Roman" w:hAnsi="Times New Roman"/>
                <w:sz w:val="18"/>
                <w:szCs w:val="18"/>
                <w:b w:val="1"/>
                <w:bCs w:val="1"/>
                <w:color w:val="0000EE"/>
              </w:rPr>
            </w:pPr>
            <w:hyperlink w:anchor="page51">
              <w:r>
                <w:rPr>
                  <w:rFonts w:ascii="Times New Roman" w:cs="Times New Roman" w:eastAsia="Times New Roman" w:hAnsi="Times New Roman"/>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1" w:right="8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9"/>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58,437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from clients,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85,297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Unbilled services,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56,527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27,720</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184,567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228,387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28,888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investment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21,045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94,992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799,958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751,400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1,161,094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1,159,543</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24,276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80,839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19,086</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131,421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compensation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23,768</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307,376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lease incentives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34,688</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375,797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value; 500,000,000 shares authorized; 24,120,541 and 24,775,823 shares issued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2016 and December 31, 2015, respectively</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at cost, 2,395,473 and 2,249,630 shares at September 30, 2016 and December 31, 2015,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438,367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313,866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639,020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652,325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1,161,094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1,159,543</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 and reimbursable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183,400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175,465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548,148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513,910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53,266</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191,556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602,784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567,176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Direct costs and reimbursable expenses </w:t>
            </w:r>
            <w:r>
              <w:rPr>
                <w:rFonts w:ascii="Times New Roman" w:cs="Times New Roman" w:eastAsia="Times New Roman" w:hAnsi="Times New Roman"/>
                <w:sz w:val="18"/>
                <w:szCs w:val="18"/>
                <w:color w:val="auto"/>
              </w:rPr>
              <w:t>(exclusive of depreciation and amortization shown in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costs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297,448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 and software development costs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53,194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direct costs and reimbursable expenses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131,362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389,335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362,744</w:t>
            </w:r>
          </w:p>
        </w:tc>
        <w:tc>
          <w:tcPr>
            <w:tcW w:w="0" w:type="dxa"/>
            <w:vAlign w:val="bottom"/>
          </w:tcPr>
          <w:p>
            <w:pPr>
              <w:spacing w:after="0"/>
              <w:rPr>
                <w:sz w:val="1"/>
                <w:szCs w:val="1"/>
                <w:color w:val="auto"/>
              </w:rPr>
            </w:pPr>
          </w:p>
        </w:tc>
      </w:tr>
      <w:tr>
        <w:trPr>
          <w:trHeight w:val="22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 and other losses, net:</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117,256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losses,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18,286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 and other losses, net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137,643</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66,789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51,013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21,620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earnings per basic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earnings per diluted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shares used in calculating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33,463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39,709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(loss) on investment, net of tax</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(loss) on cash flow hedging instruments,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280"/>
        <w:spacing w:after="0" w:line="345" w:lineRule="auto"/>
        <w:rPr>
          <w:sz w:val="20"/>
          <w:szCs w:val="20"/>
          <w:color w:val="auto"/>
        </w:rPr>
      </w:pPr>
      <w:r>
        <w:rPr>
          <w:rFonts w:ascii="Times New Roman" w:cs="Times New Roman" w:eastAsia="Times New Roman" w:hAnsi="Times New Roman"/>
          <w:sz w:val="14"/>
          <w:szCs w:val="14"/>
          <w:b w:val="1"/>
          <w:bCs w:val="1"/>
          <w:color w:val="auto"/>
        </w:rPr>
        <w:t xml:space="preserve">Balance at December 31, 2015 </w:t>
      </w:r>
      <w:r>
        <w:rPr>
          <w:rFonts w:ascii="Times New Roman" w:cs="Times New Roman" w:eastAsia="Times New Roman" w:hAnsi="Times New Roman"/>
          <w:sz w:val="14"/>
          <w:szCs w:val="14"/>
          <w:color w:val="auto"/>
        </w:rPr>
        <w:t>Comprehensive income</w:t>
      </w:r>
    </w:p>
    <w:p>
      <w:pPr>
        <w:spacing w:after="0" w:line="12" w:lineRule="exact"/>
        <w:rPr>
          <w:sz w:val="20"/>
          <w:szCs w:val="20"/>
          <w:color w:val="auto"/>
        </w:rPr>
      </w:pPr>
    </w:p>
    <w:p>
      <w:pPr>
        <w:ind w:left="40" w:right="440"/>
        <w:spacing w:after="0" w:line="261" w:lineRule="auto"/>
        <w:rPr>
          <w:sz w:val="20"/>
          <w:szCs w:val="20"/>
          <w:color w:val="auto"/>
        </w:rPr>
      </w:pPr>
      <w:r>
        <w:rPr>
          <w:rFonts w:ascii="Times New Roman" w:cs="Times New Roman" w:eastAsia="Times New Roman" w:hAnsi="Times New Roman"/>
          <w:sz w:val="14"/>
          <w:szCs w:val="14"/>
          <w:color w:val="auto"/>
        </w:rPr>
        <w:t>Issuance of common stock in connection with:</w:t>
      </w:r>
    </w:p>
    <w:p>
      <w:pPr>
        <w:spacing w:after="0" w:line="1"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4"/>
          <w:szCs w:val="14"/>
          <w:color w:val="auto"/>
        </w:rPr>
        <w:t>Restricted stock awards, net of cancellations</w:t>
      </w:r>
    </w:p>
    <w:p>
      <w:pPr>
        <w:spacing w:after="0" w:line="1" w:lineRule="exact"/>
        <w:rPr>
          <w:sz w:val="20"/>
          <w:szCs w:val="20"/>
          <w:color w:val="auto"/>
        </w:rPr>
      </w:pPr>
    </w:p>
    <w:p>
      <w:pPr>
        <w:ind w:left="40" w:right="320" w:firstLine="351"/>
        <w:spacing w:after="0" w:line="402" w:lineRule="auto"/>
        <w:rPr>
          <w:sz w:val="20"/>
          <w:szCs w:val="20"/>
          <w:color w:val="auto"/>
        </w:rPr>
      </w:pPr>
      <w:r>
        <w:rPr>
          <w:rFonts w:ascii="Times New Roman" w:cs="Times New Roman" w:eastAsia="Times New Roman" w:hAnsi="Times New Roman"/>
          <w:sz w:val="14"/>
          <w:szCs w:val="14"/>
          <w:color w:val="auto"/>
        </w:rPr>
        <w:t>Exercise of stock options Share-based compensation</w:t>
      </w:r>
    </w:p>
    <w:p>
      <w:pPr>
        <w:spacing w:after="0" w:line="1"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4"/>
          <w:szCs w:val="14"/>
          <w:color w:val="auto"/>
        </w:rPr>
        <w:t>Shares redeemed for employee tax withholdings</w:t>
      </w:r>
    </w:p>
    <w:p>
      <w:pPr>
        <w:spacing w:after="0" w:line="1" w:lineRule="exact"/>
        <w:rPr>
          <w:sz w:val="20"/>
          <w:szCs w:val="20"/>
          <w:color w:val="auto"/>
        </w:rPr>
      </w:pPr>
    </w:p>
    <w:p>
      <w:pPr>
        <w:ind w:left="40" w:right="160"/>
        <w:spacing w:after="0" w:line="261" w:lineRule="auto"/>
        <w:rPr>
          <w:sz w:val="20"/>
          <w:szCs w:val="20"/>
          <w:color w:val="auto"/>
        </w:rPr>
      </w:pPr>
      <w:r>
        <w:rPr>
          <w:rFonts w:ascii="Times New Roman" w:cs="Times New Roman" w:eastAsia="Times New Roman" w:hAnsi="Times New Roman"/>
          <w:sz w:val="14"/>
          <w:szCs w:val="14"/>
          <w:color w:val="auto"/>
        </w:rPr>
        <w:t>Income tax benefit on share-based compensation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2016</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24,065,154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(2,262,080)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(103,734)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438,367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313,866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3,585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652,325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32,325</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368,251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(59,375)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14,088</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(4,837)</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75"/>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(982,192)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(55,255)</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(55,265)</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23,455,919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(2,407,646)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(112,329)</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401,338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347,329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639,020</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-1937385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-1594485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-1148715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-805180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-359410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2160" w:space="140"/>
            <w:col w:w="91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33,463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39,709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34,344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15,288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Allowances for doubtful accounts and unbilled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receivables from clients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unbilled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15,179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current income tax receivable / payable,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8,459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accrued payroll and related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deferred revenues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78,810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83,237</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life insurance policies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(332,766)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convertible debt investment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(81,233)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(368,502)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redeemed for employee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benefit from share-based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 repurchases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borrowings under credit facility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272,000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Repayments on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for capital lease obligations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41,877</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256,872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and equipment expenditures included in accounts payable and accrued expenses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Contingent consideration related to business acquisitions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issued related to business acquisition</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110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103"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Huron is a global professional services firm focused on assisting clients with their most complex business issues by delivering high-value, quality solutions to support their long-term strategic objectives. We specialize in serving clients in the healthcare, higher education, life sciences, and commercial sectors as these organizations face significant transformational change and regulatory or economic pressures in dynamic market environments. With our deep industry and technical expertise, we provide advisory, consulting, technology, and analytic solutions to deliver sustainable and measurable results. We provide consulting services to a wide variety of both financially sound and distressed organizations, including healthcare organizations, leading academic institutions, Fortune 500 companies, and governmental entities.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financial position, results of operations, and cash flows as of and for the three and nine months ended September 30, 2016 and 2015.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2015 included in our Annual Report on Form 10-K and our Quarterly Reports on Form 10-Q for the periods ended March 31, 2016 and June 30, 2016. Our results for any interim period are not necessarily indicative of results for a full year or any other interim period.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10, 2015, we entered into an agreement to sell our Huron Legal segment to a third party. The sale closed on December 31, 2015. The operations of our Huron Legal segment have been classified as discontinued operations in our consolidated statements of earnings for all periods presented. As of September 30, 2016 and December 31, 2015, no assets or liabilities of the disposed business remained on our consolidated balance sheet. See Note 4 "Discontinued Operations" for additional information on the divestiture of our Huron Legal segment.</w:t>
      </w:r>
    </w:p>
    <w:p>
      <w:pPr>
        <w:spacing w:after="0" w:line="126" w:lineRule="exact"/>
        <w:rPr>
          <w:sz w:val="20"/>
          <w:szCs w:val="20"/>
          <w:color w:val="auto"/>
        </w:rPr>
      </w:pPr>
    </w:p>
    <w:p>
      <w:pPr>
        <w:ind w:right="1220"/>
        <w:spacing w:after="0" w:line="282" w:lineRule="auto"/>
        <w:rPr>
          <w:sz w:val="20"/>
          <w:szCs w:val="20"/>
          <w:color w:val="auto"/>
        </w:rPr>
      </w:pPr>
      <w:r>
        <w:rPr>
          <w:rFonts w:ascii="Times New Roman" w:cs="Times New Roman" w:eastAsia="Times New Roman" w:hAnsi="Times New Roman"/>
          <w:sz w:val="18"/>
          <w:szCs w:val="18"/>
          <w:color w:val="auto"/>
        </w:rPr>
        <w:t>Certain other amounts reported in the previous year have been reclassified to conform to the 2016 presentation. See Note 3 "New Accounting Pronouncements" for information on the balance sheet reclassification of our debt issuance costs related to our convertible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Improvements to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Share-Based Payment Accounting</w:t>
      </w:r>
      <w:r>
        <w:rPr>
          <w:rFonts w:ascii="Times New Roman" w:cs="Times New Roman" w:eastAsia="Times New Roman" w:hAnsi="Times New Roman"/>
          <w:sz w:val="18"/>
          <w:szCs w:val="18"/>
          <w:color w:val="auto"/>
        </w:rPr>
        <w:t>. ASU 2016-09 simplifies several aspects related to the accounting for share-based payment transactions,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classification of excess tax benefits on the statement of cash flows, and forfeitures. The updated guidance is effective for us beginning January 1, 2017, at which time we will begin recognizing excess tax benefits and deficiencies as income tax expense or benefit in our consolidated statement of earnings on a prospective basis. Prior to adoption of this ASU, excess tax benefits and deficiencies are recognized in additional paid-in capital on our consolidated balance sheet. Additionally, upon adoption, we will classify excess tax benefits as an operating activity, as opposed to a financing activity, on the statement of cash flows on a retrospective basis. Upon adoption, we will elect to account for share-based award forfeitures as they occur and apply this accounting change on a modified retrospective basis as a cumulative-effect adjustment to retained earnings, which we do not expect to have a material impact on our consolidated financial statements.</w:t>
      </w:r>
    </w:p>
    <w:p>
      <w:pPr>
        <w:spacing w:after="0" w:line="13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2016-06, </w:t>
      </w:r>
      <w:r>
        <w:rPr>
          <w:rFonts w:ascii="Times New Roman" w:cs="Times New Roman" w:eastAsia="Times New Roman" w:hAnsi="Times New Roman"/>
          <w:sz w:val="18"/>
          <w:szCs w:val="18"/>
          <w:i w:val="1"/>
          <w:iCs w:val="1"/>
          <w:color w:val="auto"/>
        </w:rPr>
        <w:t>Derivatives and Hedging: Contingent Put and Call Options in Debt Instruments</w:t>
      </w:r>
      <w:r>
        <w:rPr>
          <w:rFonts w:ascii="Times New Roman" w:cs="Times New Roman" w:eastAsia="Times New Roman" w:hAnsi="Times New Roman"/>
          <w:sz w:val="18"/>
          <w:szCs w:val="18"/>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The updated guidance is effective for us beginning January 1, 2017. We do not expect the adoption of this guidance to have any impact on our consolidated financial statements.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supersedes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sets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on a straight-line basis over the term of the lease. ASU 2016-02 will be effective for us beginning January 1, 2019, with early adoption permitted. Entities are required to use a modified retrospective transition method for existing leases. We are currently evaluating the potential impact this guidance will have on our consolidated financial statements.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January 2016, the FASB issued ASU 2016-01, </w:t>
      </w:r>
      <w:r>
        <w:rPr>
          <w:rFonts w:ascii="Times New Roman" w:cs="Times New Roman" w:eastAsia="Times New Roman" w:hAnsi="Times New Roman"/>
          <w:sz w:val="18"/>
          <w:szCs w:val="18"/>
          <w:i w:val="1"/>
          <w:iCs w:val="1"/>
          <w:color w:val="auto"/>
        </w:rPr>
        <w:t>Financial Instruments - Overall (Subtopic 825-10): Recognition and Measurement of Financial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Liabilities</w:t>
      </w:r>
      <w:r>
        <w:rPr>
          <w:rFonts w:ascii="Times New Roman" w:cs="Times New Roman" w:eastAsia="Times New Roman" w:hAnsi="Times New Roman"/>
          <w:sz w:val="18"/>
          <w:szCs w:val="18"/>
          <w:color w:val="auto"/>
        </w:rPr>
        <w:t>. The amendments to the guidance enhance the reporting model for financial instruments, which includes amendments to address aspects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recognition, measurement, presentation, and disclosure. The updated guidance is effective for us beginning January 1, 2018. We are currently evaluating the potential impact this guidance will have on our consolidated financial statements.</w:t>
      </w:r>
    </w:p>
    <w:p>
      <w:pPr>
        <w:spacing w:after="0" w:line="12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ASU 2015-05, </w:t>
      </w:r>
      <w:r>
        <w:rPr>
          <w:rFonts w:ascii="Times New Roman" w:cs="Times New Roman" w:eastAsia="Times New Roman" w:hAnsi="Times New Roman"/>
          <w:sz w:val="18"/>
          <w:szCs w:val="18"/>
          <w:i w:val="1"/>
          <w:iCs w:val="1"/>
          <w:color w:val="auto"/>
        </w:rPr>
        <w:t>Intangibles-Goodwill and Other-Internal-Use Software (Subtopic 350-40): Customer's Accounting for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Paid in a Cloud Computing Arrangement</w:t>
      </w:r>
      <w:r>
        <w:rPr>
          <w:rFonts w:ascii="Times New Roman" w:cs="Times New Roman" w:eastAsia="Times New Roman" w:hAnsi="Times New Roman"/>
          <w:sz w:val="18"/>
          <w:szCs w:val="18"/>
          <w:color w:val="auto"/>
        </w:rPr>
        <w:t>. The amendments in ASU 2015-05 provide guidance to customers about whether a cloud computing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We adopted these amendments in the first quarter of 2016 on a prospective basis. The adoption of these amendments did not have any impact on our consolidated financial statements.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The amendments to the guidance require the presentation of debt issuance costs on the balance sheet as a deduction from the carrying amount of the related debt liability, consistent with debt discounts. In August 2015, the FASB issued ASU 2015-15, </w:t>
      </w:r>
      <w:r>
        <w:rPr>
          <w:rFonts w:ascii="Times New Roman" w:cs="Times New Roman" w:eastAsia="Times New Roman" w:hAnsi="Times New Roman"/>
          <w:sz w:val="18"/>
          <w:szCs w:val="18"/>
          <w:i w:val="1"/>
          <w:iCs w:val="1"/>
          <w:color w:val="auto"/>
        </w:rPr>
        <w:t>Presentation and Subsequent Measurement of Debt Issuance Costs Associated with Line-of-Credit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Amendments to SEC Paragraphs Pursuant to Staff Announcement at June 18, 2015 EITF Meeting</w:t>
      </w:r>
      <w:r>
        <w:rPr>
          <w:rFonts w:ascii="Times New Roman" w:cs="Times New Roman" w:eastAsia="Times New Roman" w:hAnsi="Times New Roman"/>
          <w:sz w:val="18"/>
          <w:szCs w:val="18"/>
          <w:color w:val="auto"/>
        </w:rPr>
        <w:t>, which clarifies the treatment of debt issuance costs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line-of-credit arrangements after the adoption of ASU 2015-03. ASU 2015-15 clarifies that the SEC staff would not object to an entity deferring and presenting debt issuance costs related to a line-of-credit arrangement as an asset and subsequently amortizing the deferred debt issuance costs ratably over the term of such arrangement, regardless of whether there are any outstanding borrowings on the line-of-credit arrangement. We adopted these amendments in the first quarter of 2016 on a retrospective basis. As a result, we reclassified debt issuance costs related to our convertible notes of $1.2 million included in prepaid expenses and other current assets and $3.4 million included in other non-current assets to long-term debt on our previously reported consolidated balance sheet as of December 31, 2015. See Note 8 "Financing Arrangements" for information on our convertible notes.</w:t>
      </w:r>
    </w:p>
    <w:p>
      <w:pPr>
        <w:spacing w:after="0" w:line="13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2015, the FASB issued ASU 2015-02, </w:t>
      </w:r>
      <w:r>
        <w:rPr>
          <w:rFonts w:ascii="Times New Roman" w:cs="Times New Roman" w:eastAsia="Times New Roman" w:hAnsi="Times New Roman"/>
          <w:sz w:val="18"/>
          <w:szCs w:val="18"/>
          <w:i w:val="1"/>
          <w:iCs w:val="1"/>
          <w:color w:val="auto"/>
        </w:rPr>
        <w:t>Amendments to the Consolidation Analysis</w:t>
      </w:r>
      <w:r>
        <w:rPr>
          <w:rFonts w:ascii="Times New Roman" w:cs="Times New Roman" w:eastAsia="Times New Roman" w:hAnsi="Times New Roman"/>
          <w:sz w:val="18"/>
          <w:szCs w:val="18"/>
          <w:color w:val="auto"/>
        </w:rPr>
        <w:t xml:space="preserve">, which amends the consolidation requirements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ASU 2015-02 requires management to reevaluate all legal entities under a revised consolidation model, specifically (i) modify the evaluation of whether limited partnership and similar legal entities are variable interest entities (VIEs) or voting interest entities, (ii) eliminate the presumption that a general partner should consolidate a limited partnership, (iii) affect the consolidation analysis of reporting entities that are involved with VIEs, particularly those that have fee arrangements and related party relationships, and (iv) provide a scope exception from consolidation guidance for reporting entities with interests in legal entities that are required to comply with or operate in accordance with requirements that are similar to those in Rule 2a-7 of the Investment Act of 1940 for registered money market funds. We adopted these amendments in the first quarter of 2016. The adoption of these amendments did not have any impact on our consolidated financial statements.</w:t>
      </w:r>
    </w:p>
    <w:p>
      <w:pPr>
        <w:spacing w:after="0" w:line="13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accordance with the new standard, we will adopt ASU 2014-09 on January 1, 2018. The new guidance may be applied retrospectively to each period presented or as a cumulative-effect adjustment as of the date of adoption. We are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evaluating the potential impact this guidance will have on our consolidated financial statements, as well as the transition methods.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Discontinued Operations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2015, we began evaluating strategic alternatives related to our Huron Legal segment, including the potential divestiture of the practice. On December 10, 2015, we entered into an agreement to sell Huron Legal to Consilio, Inc. ("Consilio"). Pursuant to the agreement, Consilio acquired substantially all of the assets and assumed certain liabilities of Huron Legal, and acquired all issued and outstanding equity interests in certain entities wholly owned by the Company. Huron Legal provided eDiscovery services, consulting services and contract management services related to law department management, information governance and compliance, legal discovery, litigation management, and legal analytics.</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sale closed on December 31, 2015, at which time we received net proceeds of $110.1 million and recognized a pretax disposal loss of $2.3 million. The divestiture of the Huron Legal segment represented a strategic shift that had a major effect on our operations and financial results as contemplated under ASC 205-20, </w:t>
      </w:r>
      <w:r>
        <w:rPr>
          <w:rFonts w:ascii="Times New Roman" w:cs="Times New Roman" w:eastAsia="Times New Roman" w:hAnsi="Times New Roman"/>
          <w:sz w:val="18"/>
          <w:szCs w:val="18"/>
          <w:i w:val="1"/>
          <w:iCs w:val="1"/>
          <w:color w:val="auto"/>
        </w:rPr>
        <w:t>Presentation of Financial Statements - Discontinued Operations</w:t>
      </w:r>
      <w:r>
        <w:rPr>
          <w:rFonts w:ascii="Times New Roman" w:cs="Times New Roman" w:eastAsia="Times New Roman" w:hAnsi="Times New Roman"/>
          <w:sz w:val="18"/>
          <w:szCs w:val="18"/>
          <w:color w:val="auto"/>
        </w:rPr>
        <w:t>. As such, the operations of our Huron Legal segment have been classified as discontinued operations in our consolidated statements of earnings for all periods presented. As of September 30, 2016 and December 31, 2015, no assets or liabilities of the disposed business remained on our consolidated balance sheet.</w:t>
      </w:r>
    </w:p>
    <w:p>
      <w:pPr>
        <w:spacing w:after="0" w:line="13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2016, we recognized losses from discontinued operations, net of tax, of $1.8 million, primarily related to obligations for former employees, legal fees, and updated lease assumptions for vacated office space directly related to the sale of the Huron Legal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operating results of Huron Legal for the three and nine months ended September 30,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240" w:type="dxa"/>
            <w:vAlign w:val="bottom"/>
          </w:tcPr>
          <w:p>
            <w:pPr>
              <w:spacing w:after="0"/>
              <w:rPr>
                <w:sz w:val="20"/>
                <w:szCs w:val="20"/>
                <w:color w:val="auto"/>
              </w:rPr>
            </w:pP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 and 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107,468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35,681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110,102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Direct costs and reimbursable expenses </w:t>
            </w:r>
            <w:r>
              <w:rPr>
                <w:rFonts w:ascii="Times New Roman" w:cs="Times New Roman" w:eastAsia="Times New Roman" w:hAnsi="Times New Roman"/>
                <w:sz w:val="18"/>
                <w:szCs w:val="18"/>
                <w:color w:val="auto"/>
              </w:rPr>
              <w:t>(exclusive of depreciation and amortization</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shown in 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costs</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direct costs and reimbursable expenses</w:t>
            </w:r>
          </w:p>
        </w:tc>
        <w:tc>
          <w:tcPr>
            <w:tcW w:w="2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71,437</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23,769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amounts reflected in our consolidated statements of cash flows that relate to the discontinued operation for the nine months ended September 30, 2015.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2015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7,660</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Significant non-cash investing items of discontinued operations:</w:t>
            </w: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related to business acquisitions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9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sale of Huron Legal, we entered into a transition services agreement ("TSA") with Consilio, under which we are providing certain post-closing services, support, and facilities to Consilio to facilitate an orderly transfer of the Huron Legal business operations. Billings under the TSA, which we do not consider to be significant, are recorded as a reduction of the costs to provide the respective service, primarily in selling, general and administrative expenses in the consolidated statements of earnings. We expect to provide services under the TSA through the third quarter of 2017 with the scope of services decreasing over the term of the agreement. Other than the TSA, we have no continuing involvement with the Huron Legal segment.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Services Management, Inc.</w:t>
      </w:r>
    </w:p>
    <w:p>
      <w:pPr>
        <w:spacing w:after="0" w:line="173"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On August 1, 2016, we completed the acquisition of Healthcare Services Management, Inc. ("HSM"), a firm specializing in healthcare information technology and management consulting. The results of operations of HSM have been included in our consolidated financial statements and results of operations of our Huron Healthcare segment from the date of acquisition.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ADI Strategies, Inc.</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1, 2016, we completed the acquisition of the U.S. assets of ADI Strategies, Inc. ("ADI Strategies"), a leading enterprise performance management, risk management, and business intelligence firm focused on implementing the Oracle enterprise application suite. The results of operations of ADI Strategies have been included in our consolidated financial statements and the results of operations of our Huron Business Advisory segment from the date of acquisition. We are also in the process of acquiring the international assets of ADI Strategies in Dubai and India, for which we currently expect to sign and close later in the fourth quarter of 2016 or early in 2017.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 Rounding Solutions, LLC</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February 1, 2016, we completed the acquisition of My 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The results of operations of MyRounding have been included in our consolidated financial statements and the results of operations of our Huron Healthcare segment from the date of acquisition.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acquisitions of HSM, ADI Strategies, and MyRounding are not significant to our consolidated financial statements individually or in the aggregate.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Studer Holdings, Inc.</w:t>
      </w:r>
    </w:p>
    <w:p>
      <w:pPr>
        <w:spacing w:after="0" w:line="17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 financial results. The acquisition combines Huron Healthcare’s performance improvement and clinical transformation capabilities with Studer Group’s Evidence-Based Leadership</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8"/>
          <w:szCs w:val="18"/>
          <w:color w:val="auto"/>
        </w:rPr>
        <w:t xml:space="preserve"> framework to provide leadership and cultural transformation expertise for healthcare provider clients.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for Studer Group was $325.2 million, which consisted of the following:</w:t>
      </w: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323,237</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2,204</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7"/>
        </w:trPr>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325,186</w:t>
            </w:r>
          </w:p>
        </w:tc>
      </w:tr>
      <w:tr>
        <w:trPr>
          <w:trHeight w:val="27"/>
        </w:trPr>
        <w:tc>
          <w:tcPr>
            <w:tcW w:w="9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$77.35 on the date of acquisition.</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14,906</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97,500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92,510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232,676</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purchase price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325,186</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acquisition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w:t>
            </w:r>
          </w:p>
        </w:tc>
      </w:tr>
      <w:tr>
        <w:trPr>
          <w:trHeight w:val="238"/>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25,100</w:t>
            </w:r>
          </w:p>
        </w:tc>
        <w:tc>
          <w:tcPr>
            <w:tcW w:w="2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and software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3,900</w:t>
            </w:r>
          </w:p>
        </w:tc>
        <w:tc>
          <w:tcPr>
            <w:tcW w:w="2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Publishing content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7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97,500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weighted 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 Group’s software and books that are sold to customers. Goodwill is recognized for the excess of purchase price over the net fair</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value of assets acquired and liabilities assumed, and largely reflects the expanded market opportunities expected from combining the service offerings of Huron and Studer Group, as well as the assembled workforce of Studer Group. Goodwill recognized in conjunction with the acquisition of Studer Group was recorded in the Huron Healthcare segment. Goodwill of $119.5 million is expected to be deductible for income tax purposes.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Studer Group’s results of operations have been included in our unaudited consolidated statements of earnings and other comprehensive income and results of operations of our Huron Healthcare segment from the date of acquisition. For the three months ended September 30, 2015, revenues from Studer Group were $22.3 million and operating income was $1.6 million, which included $6.1 million of amortization expense for intangible assets acquired. For the nine months ended September 30, 2015, revenues from Studer Group were $56.0 million and operating income was $3.6 million, which included $15.2 million of amortization expense for intangible assets acquired. In connection with the acquisition of Studer Group, we incurred $2.1 million of transaction and acquisition-related expenses, $0.9 million of which were incurred in the fourth quarter of 2014, $1.0 million of which were incurred in the first quarter of 2015, and the remaining $0.2 million were incurred in the second quarter of 2015. These costs are recorded in selling, general and administrative expenses in the period in which they were incurred.</w:t>
      </w:r>
    </w:p>
    <w:p>
      <w:pPr>
        <w:spacing w:after="0" w:line="13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supplemental pro forma information summarizes the combined results of operations for Huron and Studer Group for the three and nine months ended September 30, 2015 as though the companies were combined on January 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22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2015</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524,732</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30,699</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bl>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has been adjusted to give effect to pro forma adjustments, which consist of intangible assets amortization expense, acquisition-related costs, interest expense, the related income tax effects, and shares issued as consideration. These adjustments are based upon currently available information and certain assumptions. Therefore, the pro forma consolidated results are not necessarily indicative of what the Company’s consolidated results of operations actually would have been had it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changes in the carrying amount of goodwill by reportable segment for the nine months ended September 30,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Huron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Education</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Huron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Huron</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and Life</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Sciences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Advisory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610,264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102,906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181,213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894,383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(142,983)</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net as of December 31, 2015</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610,264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102,906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751,400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recorded in connection with business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48,346</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net as of September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636,786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799,958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“Acquisitions” for additional information on our recent acquisitions.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September 30, 2016 and December 31, 2015 consisted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22,360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 to 4</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and software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Publishing content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Favorable lease contract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In-process technology</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Indefinite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157,034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43,484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we acquired in-process technology which is accounted for as an indefinite-lived intangible asset until the development of the technology is complete, at which point we will determine the useful life and amortize the asset accordingly. Refer to Note 5 "Acquisitions" for additional information on the acquisition of MyRounding.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Intangible asset amortization expense was $8.8 million and $7.9 million for the three months ended September 30, 2016 and 2015, respectively. Intangible assets amortization expense was $24.4 million and $20.7 million for the nine months ended September 30, 2016 and 2015, respectively. The table below sets forth the estimated annual amortization expense for the year ending December 31, 2016 and each of the five succeeding years for the definite-lived intangible assets recorded as of September 30,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60" w:type="dxa"/>
            <w:vAlign w:val="bottom"/>
            <w:gridSpan w:val="2"/>
          </w:tcPr>
          <w:p>
            <w:pPr>
              <w:ind w:left="360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 Amount</w:t>
            </w:r>
          </w:p>
        </w:tc>
      </w:tr>
      <w:tr>
        <w:trPr>
          <w:trHeight w:val="27"/>
        </w:trPr>
        <w:tc>
          <w:tcPr>
            <w:tcW w:w="9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33,122</w:t>
            </w:r>
          </w:p>
        </w:tc>
      </w:tr>
      <w:tr>
        <w:trPr>
          <w:trHeight w:val="243"/>
        </w:trPr>
        <w:tc>
          <w:tcPr>
            <w:tcW w:w="9260" w:type="dxa"/>
            <w:vAlign w:val="bottom"/>
          </w:tcPr>
          <w:p>
            <w:pPr>
              <w:jc w:val="right"/>
              <w:ind w:right="877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30,201</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19,193</w:t>
            </w:r>
          </w:p>
        </w:tc>
      </w:tr>
      <w:tr>
        <w:trPr>
          <w:trHeight w:val="243"/>
        </w:trPr>
        <w:tc>
          <w:tcPr>
            <w:tcW w:w="9260" w:type="dxa"/>
            <w:vAlign w:val="bottom"/>
          </w:tcPr>
          <w:p>
            <w:pPr>
              <w:jc w:val="right"/>
              <w:ind w:right="877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12,626</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7,978</w:t>
            </w:r>
          </w:p>
        </w:tc>
      </w:tr>
      <w:tr>
        <w:trPr>
          <w:trHeight w:val="243"/>
        </w:trPr>
        <w:tc>
          <w:tcPr>
            <w:tcW w:w="9260" w:type="dxa"/>
            <w:vAlign w:val="bottom"/>
          </w:tcPr>
          <w:p>
            <w:pPr>
              <w:jc w:val="right"/>
              <w:ind w:right="87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29,393</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stock equivalents</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22,616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basic share:</w:t>
            </w: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67"/>
        </w:trPr>
        <w:tc>
          <w:tcPr>
            <w:tcW w:w="48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8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per diluted share:</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number of anti-dilutive securities excluded from the computation of the weighted average common stock equivalents presented above is shown in the following table.</w:t>
      </w:r>
    </w:p>
    <w:p>
      <w:pPr>
        <w:spacing w:after="0" w:line="26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36830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gridSpan w:val="2"/>
          </w:tcPr>
          <w:p>
            <w:pPr>
              <w:ind w:left="840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 related to the issuance of 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3,129</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6,258</w:t>
            </w: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“Financing Arrangements” for further information on the convertible senior notes and warrants related to the issuance of convertible notes.</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board of directors authorized a share repurchase program pursuant to which we may, from time to time, repurchase up to $125.0 million of our common stock through October 31, 2016 (the “Share Repurchase Program”). In October 2016, our board of directors authorized an extension of the Share Repurchase Program through October 31, 2017. The amount and timing of the repurchases will be determined by management and will depend on a variety of factors, including the trading price of our common stock, general market and business conditions, and applicable legal requirements. In the first quarter of 2016, 982,192 shares were repurchased and retired for $55.3 million. In 2015, 583,880 shares were repurchased and retired for $34.6 million. As of September 30, 2016, $35.1 million remains available for share repurchases.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Financing Arrangements</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carrying amounts of our debt is as follows:</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6"/>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 convertible senior notes due 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221,858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215,376</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92,000</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325,858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307,376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scheduled maturities of our debt follows:</w:t>
      </w:r>
    </w:p>
    <w:p>
      <w:pPr>
        <w:spacing w:after="0" w:line="167"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8"/>
          <w:szCs w:val="18"/>
          <w:b w:val="1"/>
          <w:bCs w:val="1"/>
          <w:color w:val="auto"/>
        </w:rPr>
        <w:t>Scheduled Maturities of</w:t>
      </w:r>
    </w:p>
    <w:p>
      <w:pPr>
        <w:spacing w:after="0" w:line="31"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60" w:type="dxa"/>
            <w:vAlign w:val="bottom"/>
            <w:tcBorders>
              <w:top w:val="single" w:sz="8" w:color="CCEEFF"/>
              <w:bottom w:val="single" w:sz="8" w:color="CCEEFF"/>
            </w:tcBorders>
            <w:shd w:val="clear" w:color="auto" w:fill="CCEEFF"/>
          </w:tcPr>
          <w:p>
            <w:pPr>
              <w:jc w:val="right"/>
              <w:ind w:right="877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43"/>
        </w:trPr>
        <w:tc>
          <w:tcPr>
            <w:tcW w:w="9260" w:type="dxa"/>
            <w:vAlign w:val="bottom"/>
          </w:tcPr>
          <w:p>
            <w:pPr>
              <w:jc w:val="right"/>
              <w:ind w:right="877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104,000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September 2014, the Company issued $250.0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35"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Holders of the Convertible Notes may convert their Convertible Notes at their option at any time prior to July 1, 2019, only under the following circumstances:</w:t>
      </w:r>
    </w:p>
    <w:p>
      <w:pPr>
        <w:spacing w:after="0" w:line="135" w:lineRule="exact"/>
        <w:rPr>
          <w:sz w:val="20"/>
          <w:szCs w:val="20"/>
          <w:color w:val="auto"/>
        </w:rPr>
      </w:pPr>
    </w:p>
    <w:p>
      <w:pPr>
        <w:ind w:left="740" w:right="80" w:hanging="732"/>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26" w:lineRule="exact"/>
        <w:rPr>
          <w:rFonts w:ascii="Times New Roman" w:cs="Times New Roman" w:eastAsia="Times New Roman" w:hAnsi="Times New Roman"/>
          <w:sz w:val="18"/>
          <w:szCs w:val="18"/>
          <w:color w:val="auto"/>
        </w:rPr>
      </w:pPr>
    </w:p>
    <w:p>
      <w:pPr>
        <w:ind w:left="740" w:right="180" w:hanging="732"/>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26"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transactions described in the Indenture.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0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September 30, 2016, the remaining life of the Convertible Notes is 3.0 years. The equity component will not be remeasured as long as it continues to meet the conditions for equity classification.</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2016 and December 31, 2015, the Convertible Notes consisted of the following:</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31"/>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component: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debt discount, net of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(30,007)</w:t>
            </w: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debt issuance costs, net of amortization</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221,858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component</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39,287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39,287</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0"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Additional paid-in capital on the consolidated balance sheet.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2015</w:t>
            </w: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5,324</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8,551</w:t>
            </w: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convertible note hedge transactions and warrant transactions. The convertible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 transactions are intended to reduce the potential future economic dilution associated with the conversion of the Convertible Notes and, combined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effectively raise the price at which economic dilution would occur from the initial conversion price of approximately $79.89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$97.12 per share. For purposes of the computation of diluted earnings per share in accordance with GAAP, dilution will occur when the average share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for a given period exceeds the conversion price of the Convertible Notes, which initially is equal to approximately $79.89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hedge transactions and warrant transactions are discussed separately below.</w:t>
      </w:r>
    </w:p>
    <w:p>
      <w:pPr>
        <w:spacing w:after="0" w:line="178" w:lineRule="exact"/>
        <w:rPr>
          <w:sz w:val="20"/>
          <w:szCs w:val="20"/>
          <w:color w:val="auto"/>
        </w:rPr>
      </w:pPr>
    </w:p>
    <w:p>
      <w:pPr>
        <w:ind w:left="660" w:right="120" w:hanging="652"/>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Convertible Note Hedge Transactions</w:t>
      </w:r>
      <w:r>
        <w:rPr>
          <w:rFonts w:ascii="Times New Roman" w:cs="Times New Roman" w:eastAsia="Times New Roman" w:hAnsi="Times New Roman"/>
          <w:sz w:val="18"/>
          <w:szCs w:val="18"/>
          <w:color w:val="auto"/>
        </w:rPr>
        <w:t>. In connection with the issuance of the Convertible Notes, the Company entered into convertible note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1" w:lineRule="exact"/>
        <w:rPr>
          <w:rFonts w:ascii="Times New Roman" w:cs="Times New Roman" w:eastAsia="Times New Roman" w:hAnsi="Times New Roman"/>
          <w:sz w:val="18"/>
          <w:szCs w:val="18"/>
          <w:color w:val="auto"/>
        </w:rPr>
      </w:pPr>
    </w:p>
    <w:p>
      <w:pPr>
        <w:ind w:left="660" w:right="20" w:hanging="652"/>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connection with the issuance of the Convertible Notes, the Company sold warrants whereby the holders of the warrants have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840"/>
        <w:spacing w:after="0" w:line="438" w:lineRule="auto"/>
        <w:rPr>
          <w:sz w:val="20"/>
          <w:szCs w:val="20"/>
          <w:color w:val="auto"/>
        </w:rPr>
      </w:pPr>
      <w:r>
        <w:rPr>
          <w:rFonts w:ascii="Times New Roman" w:cs="Times New Roman" w:eastAsia="Times New Roman" w:hAnsi="Times New Roman"/>
          <w:sz w:val="18"/>
          <w:szCs w:val="18"/>
          <w:color w:val="auto"/>
        </w:rPr>
        <w:t xml:space="preserve">transactions. The deferred tax liability and deferred tax asset are included in non-current deferred tax liabilities on the consolidated balance sheets. </w:t>
      </w:r>
      <w:r>
        <w:rPr>
          <w:rFonts w:ascii="Times New Roman" w:cs="Times New Roman" w:eastAsia="Times New Roman" w:hAnsi="Times New Roman"/>
          <w:sz w:val="18"/>
          <w:szCs w:val="18"/>
          <w:b w:val="1"/>
          <w:bCs w:val="1"/>
          <w:i w:val="1"/>
          <w:iCs w:val="1"/>
          <w:color w:val="auto"/>
        </w:rPr>
        <w:t>Senior Secured Credit Facility</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a $500 million five-year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loans and obligations under the Amended Credit Agreement are secured pursuant to a Second Amended and Restated Security Agreement and a Second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September 30, 2016, we were in compliance with these financial covenants with a Consolidated Leverage Ratio of 2.08 to 1.00 and a Consolidated Interest Coverage Ratio of 20.89 to 1.00.</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Borrowings outstanding under the Amended Credit Agreement at September 30, 2016 totaled $104.0 million. These borrowings carried a weighted average interest rate of 2.4%, including the effect of the interest rate swap described below in Note 10 “Derivative Instruments and Hedging Activity." Borrowings outstanding under the Amended Credit Agreement at December 31, 2015 were $92.0 million and carried a weighted average interest rate of 2.4%. The borrowing capacity under the revolving credit facility is reduced by any outstanding borrowings under the revolving credit facility and outstanding letters of credit. At September 30, 2016, we had outstanding letters of credit totaling $4.7 million, which are primarily used as security deposits for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office facilities. As of September 30, 2016, the unused borrowing capacity under the revolving credit facility was $391.3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 Charges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third quarter of 2016, we incurred a $1.0 million pretax restructuring charge primarily related to our Washington, D.C. space that we vacated in the fourth quarter of 2014. During the third quarter of 2016, we entered into a sublease agreement and adjusted our Washington, D.C. lease accrual to reflect the terms specified in the sublease agreement. During the nine months ended September 30, 2016, we incurred a $4.1 million pretax restructuring charge, of which $1.5 million related to updated assumptions for the lease accrual of the Washington, D.C. space, $1.2 million related to workforce reductions in our Healthcare segment to better align our resources with market demand, $0.9 million related to workforce reductions in our corporate operations as we adjust our infrastructure to align with our Huron Legal divestiture, and $0.2 million related to the wind down of our foreign consulting operations based in the Middle East.</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third quarter of 2015, we incurred a $0.3 million pretax restructuring charge primarily related to updated assumptions for the lease accrual of the Washington, D.C. space. During the first nine months of 2015, we incurred a $1.6 million pretax restructuring charge. Of the $1.6 million charge, $1.2 million related to workforce reductions to better align our resources with market demand, of which $1.0 million related to our All Other segment for the wind down of our public sector consulting practice and our foreign consulting operations based in the Middle East and $0.2 million related to our corporate operations, and $0.3 million related to updated assumptions for the lease accrual of the Washington, D.C. space.</w:t>
      </w:r>
    </w:p>
    <w:p>
      <w:pPr>
        <w:spacing w:after="0" w:line="130"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table below sets forth the changes in the carrying amount of our restructuring charge liability by restructuring type for the nine months ended September 30, 2016.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Office Space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Employee Costs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8,702</w:t>
            </w:r>
          </w:p>
        </w:tc>
      </w:tr>
      <w:tr>
        <w:trPr>
          <w:trHeight w:val="270"/>
        </w:trPr>
        <w:tc>
          <w:tcPr>
            <w:tcW w:w="51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4,493</w:t>
            </w: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r>
      <w:tr>
        <w:trPr>
          <w:trHeight w:val="270"/>
        </w:trPr>
        <w:tc>
          <w:tcPr>
            <w:tcW w:w="51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1,126</w:t>
            </w: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items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64"/>
        </w:trPr>
        <w:tc>
          <w:tcPr>
            <w:tcW w:w="516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Balance as of September 30, 2016 </w:t>
            </w:r>
            <w:r>
              <w:rPr>
                <w:rFonts w:ascii="Times New Roman" w:cs="Times New Roman" w:eastAsia="Times New Roman" w:hAnsi="Times New Roman"/>
                <w:sz w:val="25"/>
                <w:szCs w:val="25"/>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6,797</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0" w:lineRule="exact"/>
        <w:rPr>
          <w:sz w:val="20"/>
          <w:szCs w:val="20"/>
          <w:color w:val="auto"/>
        </w:rPr>
      </w:pPr>
    </w:p>
    <w:p>
      <w:pPr>
        <w:ind w:left="640" w:right="100" w:hanging="632"/>
        <w:spacing w:after="0" w:line="281"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adjustments for the nine months ended September 30, 2016 include a total of $1.6 million related to discontinued operations. Refer to Note 4 "Discontinued Operations" for additional information.</w:t>
      </w:r>
    </w:p>
    <w:p>
      <w:pPr>
        <w:spacing w:after="0" w:line="1" w:lineRule="exact"/>
        <w:rPr>
          <w:rFonts w:ascii="Times New Roman" w:cs="Times New Roman" w:eastAsia="Times New Roman" w:hAnsi="Times New Roman"/>
          <w:sz w:val="18"/>
          <w:szCs w:val="18"/>
          <w:color w:val="auto"/>
        </w:rPr>
      </w:pPr>
    </w:p>
    <w:p>
      <w:pPr>
        <w:ind w:left="640" w:right="900" w:hanging="632"/>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restructuring charge liability as of September 30, 2016 includes $5.0 million related to discontinued operations. Refer to Note 4 "Discontinued Operations" for additional information on our discontinued operations.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2016, our restructuring charge liability related to office space reductions of $5.9 million represented the present value of remaining lease payments, net of estimated sublease income, for our vacated office spaces in Washington, D.C., Houston, and New York. Of the $5.9 million restructuring charge liability related to office space reductions, $2.4 million is expected to be paid in the next 12 months. The $0.8 million restructuring charge liability related to employee costs is expected to be paid in the next 12 months. The restructuring charge liabilities are included as a component of accrued expenses and deferred compensation and other liabilities.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 and Hedging Activity</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December 8, 2011, we entered into a forward amortizing interest rate swap agreement effective February 29, 2012, which ended April 14, 2016. We entered into this derivative instrument to hedge against the interest rate risks of our variable-rate borrowings described in Note 8 “Financing Arrangements.” The swap had an initial notional amount of $56.6 million and amortized throughout the term. Under the terms of the interest rate swap agreement, we received from the counterparty interest on the notional amount based on one-month LIBOR and we paid to the counterparty a fixed rate of 0.9875%.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30, 2012, we entered into an amortizing interest rate swap agreement effective May 31, 2012, which ended April 14, 2016. We entered into this derivative instrument to further hedge against the interest rate risks of our variable-rate borrowings. The swap had an initial notional amount of $37.0 million and amortized throughout the term. Under the terms of the interest rate swap agreement, we received from the counterparty interest on the notional amount based on one-month LIBOR and we paid to the counterparty a fixed rate of 0.70%.</w:t>
      </w:r>
    </w:p>
    <w:p>
      <w:pPr>
        <w:spacing w:after="0" w:line="14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April 4, 2013, we entered into a forward amortizing interest rate swap agreement effective March 31, 2014 and ending August 31, 2017. We entered into this derivative instrument to further hedge against the interest rate risks of our variable-rate borrowings. The swap had an initial notional amount of $60.0 million and amortized quarterly until April 2016. Upon expiration of the two interest rate swaps in April 2016 described above,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 xml:space="preserve">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on the balance sheet. In accordance with ASC 815, we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September 30, 2016, it was anticipated that all of the losses currently recorded in accumulated other comprehensive income will be reclassified into earnings within the next 12 months. Our interest rate swap agreements were effective during the three and nine months ended September 30, 2016.</w:t>
      </w:r>
    </w:p>
    <w:p>
      <w:pPr>
        <w:spacing w:after="0" w:line="13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table below sets forth additional information relating to these interest rate swaps designated as cash flow hedging instruments as of September 30, 2016 and December 31, 2015.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 (Derivative Asset and Liability)</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4"/>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18"/>
                <w:szCs w:val="18"/>
                <w:color w:val="auto"/>
              </w:rPr>
            </w:pPr>
          </w:p>
        </w:tc>
      </w:tr>
      <w:tr>
        <w:trPr>
          <w:trHeight w:val="238"/>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80" w:type="dxa"/>
            <w:vAlign w:val="bottom"/>
          </w:tcPr>
          <w:p>
            <w:pPr>
              <w:spacing w:after="0"/>
              <w:rPr>
                <w:sz w:val="20"/>
                <w:szCs w:val="20"/>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0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7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6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bl>
    <w:p>
      <w:pPr>
        <w:spacing w:after="0" w:line="17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our consolidated balance sheet. All of the Company’s derivative instruments as of September 30, 2016 and December 31, 2015 were held with the same counterparty.</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do not use derivative instruments for trading or other speculative purposes. Refer to Note 12 “Other Comprehensive Income (Loss)” for additional information on our derivative instruments.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Certain of our assets and liabilities are measured at fair value.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1" w:right="239" w:bottom="1440" w:gutter="0" w:footer="0" w:header="0"/>
        </w:sectPr>
      </w:pPr>
    </w:p>
    <w:p>
      <w:pPr>
        <w:spacing w:after="0" w:line="2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1 Inputs</w:t>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2 Inputs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Quoted prices in active markets for identical assets or liabilities that the reporting entity has the ability to access at the measurement date.</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36" w:lineRule="exact"/>
        <w:rPr>
          <w:sz w:val="20"/>
          <w:szCs w:val="20"/>
          <w:color w:val="auto"/>
        </w:rPr>
      </w:pPr>
    </w:p>
    <w:p>
      <w:pPr>
        <w:sectPr>
          <w:pgSz w:w="11900" w:h="16838" w:orient="portrait"/>
          <w:cols w:equalWidth="0" w:num="2">
            <w:col w:w="1820" w:space="72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Times New Roman" w:cs="Times New Roman" w:eastAsia="Times New Roman" w:hAnsi="Times New Roman"/>
          <w:sz w:val="18"/>
          <w:szCs w:val="18"/>
          <w:color w:val="auto"/>
        </w:rPr>
        <w:t>Level 3 Inputs</w:t>
      </w:r>
      <w:r>
        <w:rPr>
          <w:sz w:val="20"/>
          <w:szCs w:val="20"/>
          <w:color w:val="auto"/>
        </w:rPr>
        <w:tab/>
      </w:r>
      <w:r>
        <w:rPr>
          <w:rFonts w:ascii="Times New Roman" w:cs="Times New Roman" w:eastAsia="Times New Roman" w:hAnsi="Times New Roman"/>
          <w:sz w:val="17"/>
          <w:szCs w:val="17"/>
          <w:color w:val="auto"/>
        </w:rPr>
        <w:t>Unobservable inputs for the asset or liability, and includes situations in which there is little, if any, market activity for the</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asset or liability.</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below sets forth our fair value hierarchy for our financial assets and liabilities measured at fair value on a recurring basis as of September 30, 2016 and December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September 30, 2016</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Promissory note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debt investment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32,932</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35,256</w:t>
            </w:r>
          </w:p>
        </w:tc>
      </w:tr>
      <w:tr>
        <w:trPr>
          <w:trHeight w:val="22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business acquisitions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11,311</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11,511</w:t>
            </w:r>
          </w:p>
        </w:tc>
      </w:tr>
      <w:tr>
        <w:trPr>
          <w:trHeight w:val="22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Promissory note</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 investment</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34,831</w:t>
            </w:r>
          </w:p>
        </w:tc>
      </w:tr>
      <w:tr>
        <w:trPr>
          <w:trHeight w:val="237"/>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37,140</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business acquisition</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2,063</w:t>
            </w:r>
          </w:p>
        </w:tc>
      </w:tr>
      <w:tr>
        <w:trPr>
          <w:trHeight w:val="237"/>
        </w:trPr>
        <w:tc>
          <w:tcPr>
            <w:tcW w:w="4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2,219</w:t>
            </w:r>
          </w:p>
        </w:tc>
      </w:tr>
      <w:tr>
        <w:trPr>
          <w:trHeight w:val="27"/>
        </w:trPr>
        <w:tc>
          <w:tcPr>
            <w:tcW w:w="4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Promissory note</w:t>
      </w:r>
      <w:r>
        <w:rPr>
          <w:rFonts w:ascii="Times New Roman" w:cs="Times New Roman" w:eastAsia="Times New Roman" w:hAnsi="Times New Roman"/>
          <w:sz w:val="18"/>
          <w:szCs w:val="18"/>
          <w:color w:val="auto"/>
        </w:rPr>
        <w:t>: As part of the consideration received for the sale of our Accounting Advisory practice on December 30, 2011, the Company received a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increase in the fair value of the note during the first nine months of 2016 reflects the accretion of interest income in excess of interest payments received, partially offset by updated cash flow assumptions. As of September 30, 2016, $0.5 million is recorded in prepaid expenses and other current assets and represents the present value of the payments expected to be received in the next 12 months, and the remaining $1.8 million is recorded in other non-current assets.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The fair value of the interest rate swaps was derived using estimates to settle the interest rate swap agreements, which are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present value of expected future cash flows on each leg of the swaps utilizing market-based inputs and discount rates reflecting the risks involved.</w:t>
      </w:r>
    </w:p>
    <w:p>
      <w:pPr>
        <w:spacing w:after="0" w:line="10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Convertible debt investment: </w:t>
      </w:r>
      <w:r>
        <w:rPr>
          <w:rFonts w:ascii="Times New Roman" w:cs="Times New Roman" w:eastAsia="Times New Roman" w:hAnsi="Times New Roman"/>
          <w:sz w:val="18"/>
          <w:szCs w:val="18"/>
          <w:color w:val="auto"/>
        </w:rPr>
        <w:t>In 2014 and 2015, we invested $27.9 million, in the form of zero coupon convertible debt, in Shorelight Holdings,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the terms of the investment, we concluded the appropriate accounting treatment to be that of an available-for-sale debt security in accordance with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During the first nine months of 2016, we updated our discounted cash flow model to reflect current cash flow projections, resulting in an unrealized pretax loss of $1.9 million, which was recorded in other comprehensive income. The fair value of the convertible debt investment is recorded in long-term investment.</w:t>
      </w:r>
    </w:p>
    <w:p>
      <w:pPr>
        <w:spacing w:after="0" w:line="1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for business acquisitions: </w:t>
      </w:r>
      <w:r>
        <w:rPr>
          <w:rFonts w:ascii="Times New Roman" w:cs="Times New Roman" w:eastAsia="Times New Roman" w:hAnsi="Times New Roman"/>
          <w:sz w:val="18"/>
          <w:szCs w:val="18"/>
          <w:color w:val="auto"/>
        </w:rPr>
        <w:t>We estimate the fair value of acquisition-related contingent consideration using either a probability-weighted discounted cash flow model or a Monte Carlo simulation model, as appropriate. These fair value measurements are based on significant inputs not observable in the market and thus represent Level 3 measurements.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our practice leaders and management. Any change in the fair value estimate is recorded in the earnings of that period.</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first and third quarters of 2016, we recorded initial contingent consideration liabilities of $6.5 million and $2.3 million, respectively, for acquisitions completed in those quarters. In addition, during the third quarter of 2016, we increased the fair value of our contingent consideration liabilities due to updated financial projections and the passage of time, resulting in a remeasurement loss of $0.5 million, which is recorded in other losses, net in statement of earnings. Refer to Note 5 “Acquisitions” for information on the acquisitions completed in the first nine months of 2016. At September 30, 2016, the current portion of the contingent consideration liabilities is recorded in accrued expenses and the long-term portion is recorded in deferred compensation and other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not recorded at fair value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borrowings outstanding under our senior secured credit facility is stated at cost. Our carrying value approximates fair value, using Level 2 inputs, as the senior secured credit facility bears interest at variable rates based on market rates as set forth in the Amended Credit Agreement. Refer to Note 8 “Financing Arrangements.”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221,858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252,310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215,376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248,010</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differences between the $250.0 million principal amount of the Convertible Notes and the carrying amounts shown above represent the unamortized debt discount and issuance costs. As of September 30, 2016 and December 31, 2015, the carrying value of the equity component of $39.3 million was unchanged from the date of issuance. Refer to Note 8 “Financing Arrangements” for additional details on our Convertible Notes. The estimated fair value of the Convertible Notes was determined based on the quoted bid price of the Convertible Notes in an over-the-counter market, which is a Level 2 input, on the last day of trading for the quarters ended September 30, 2016 and December 31, 2015.</w:t>
      </w:r>
    </w:p>
    <w:p>
      <w:pPr>
        <w:spacing w:after="0" w:line="13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closing price of our common stock of $59.76 on September 30, 2016, the if-converted value of the Convertible Notes was less than the $250.0 million principal amount.</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Comprehensive Income (Loss)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tables below set forth the components of other comprehensive income (loss), net of tax, for the three and nine months ended September 30, 2016 and 2015.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80" w:type="dxa"/>
            <w:vAlign w:val="bottom"/>
          </w:tcPr>
          <w:p>
            <w:pPr>
              <w:spacing w:after="0"/>
              <w:rPr>
                <w:sz w:val="18"/>
                <w:szCs w:val="18"/>
                <w:color w:val="auto"/>
              </w:rPr>
            </w:pPr>
          </w:p>
        </w:tc>
      </w:tr>
      <w:tr>
        <w:trPr>
          <w:trHeight w:val="238"/>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8"/>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 2016</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of</w:t>
            </w:r>
          </w:p>
        </w:tc>
      </w:tr>
      <w:tr>
        <w:trPr>
          <w:trHeight w:val="238"/>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loss on investment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43"/>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unrealized gain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8"/>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80" w:type="dxa"/>
            <w:vAlign w:val="bottom"/>
          </w:tcPr>
          <w:p>
            <w:pPr>
              <w:spacing w:after="0"/>
              <w:rPr>
                <w:sz w:val="24"/>
                <w:szCs w:val="24"/>
                <w:color w:val="auto"/>
              </w:rPr>
            </w:pPr>
          </w:p>
        </w:tc>
      </w:tr>
      <w:tr>
        <w:trPr>
          <w:trHeight w:val="238"/>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 2016</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of</w:t>
            </w:r>
          </w:p>
        </w:tc>
      </w:tr>
      <w:tr>
        <w:trPr>
          <w:trHeight w:val="238"/>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investment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4,135</w:t>
            </w: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43"/>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unrealized loss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3,682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before tax amounts reclassified from accumulated other comprehensive income related to our cash flow hedges are recorded to interest expense, net of interest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 on</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20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r>
      <w:tr>
        <w:trPr>
          <w:trHeight w:val="238"/>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0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200" w:type="dxa"/>
            <w:vAlign w:val="bottom"/>
          </w:tcPr>
          <w:p>
            <w:pPr>
              <w:spacing w:after="0"/>
              <w:rPr>
                <w:sz w:val="20"/>
                <w:szCs w:val="20"/>
                <w:color w:val="auto"/>
              </w:rPr>
            </w:pPr>
          </w:p>
        </w:tc>
        <w:tc>
          <w:tcPr>
            <w:tcW w:w="1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Income</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3,585</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2,447</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Company’s effective tax rates for the three months ended September 30, 2016 and 2015 were 37.2% and 40.6%, respectively. The Company's effective tax rates for the nine months ended September 30, 2016 and 2015 were 35.6% and 42.4%, respectively. The effective tax rate for the three months ended September 30, 2016 was lower than the statutory rate, inclusive of state income taxes, primarily due to non-taxable income, valuation allowance reductions, and certain credits and deductions, partially offset by non-deductible business expenses. The effective tax rate for the nine months ended September 30, 2016 was lower than the statutory rate, inclusive of state income taxes, primarily due to the year-to-date impact of a discrete favorable adjustment to our state tax rate </w:t>
      </w:r>
      <w:r>
        <w:rPr>
          <w:rFonts w:ascii="Times New Roman" w:cs="Times New Roman" w:eastAsia="Times New Roman" w:hAnsi="Times New Roman"/>
          <w:sz w:val="18"/>
          <w:szCs w:val="18"/>
          <w:u w:val="single" w:color="auto"/>
          <w:color w:val="0000FF"/>
        </w:rPr>
        <w:t>in the second quarter of 2016</w:t>
      </w:r>
      <w:r>
        <w:rPr>
          <w:rFonts w:ascii="Times New Roman" w:cs="Times New Roman" w:eastAsia="Times New Roman" w:hAnsi="Times New Roman"/>
          <w:sz w:val="18"/>
          <w:szCs w:val="18"/>
          <w:color w:val="auto"/>
        </w:rPr>
        <w:t>, non-taxable income, valuation allowance reductions, certain credits and deductions, and a discrete tax benefit related to share-based compensation, partially offset by non-deductible business expenses.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2015 was higher than the statutory tax rate, inclusive of state income taxes, primarily due to non-deductible business expenses and foreign losses with no tax benefit, partially offset by certain credits and deductions. The effective tax rate for the nine months ended September 30, 2015 was higher than the statutory rate, inclusive of state income taxes, primarily due to non-deductible expenses, foreign losses with no tax benefit, and an increase in our valuation allowance.</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September 30, 2016, we had $2.4 million in unrecognized tax benefits related to positions taken on our tax returns for discontinued operations. While such tax returns remain subject to audit by tax authorities, it is reasonably possible that unrecognized tax benefits may decrease by $2.4 million over the next 12 months due to the expiration of statute of limitations. Refer to Note 4 "Discontinued Operations" for additional information on our discontinued operations.</w:t>
      </w:r>
    </w:p>
    <w:p>
      <w:pPr>
        <w:spacing w:after="0" w:line="122" w:lineRule="exact"/>
        <w:rPr>
          <w:sz w:val="20"/>
          <w:szCs w:val="20"/>
          <w:color w:val="auto"/>
        </w:rPr>
      </w:pPr>
    </w:p>
    <w:p>
      <w:pPr>
        <w:ind w:right="7600" w:firstLine="8"/>
        <w:spacing w:after="0" w:line="440"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 Litigation</w:t>
      </w:r>
    </w:p>
    <w:p>
      <w:pPr>
        <w:spacing w:after="0" w:line="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Guarantees in the form of letters of credit totaling $4.7 million and $4.8 million were outstanding at September 30, 2016 and December 31, 2015, respectively, primarily to support certain office lease obligations.</w:t>
      </w:r>
    </w:p>
    <w:p>
      <w:pPr>
        <w:spacing w:after="0" w:line="108" w:lineRule="exact"/>
        <w:rPr>
          <w:sz w:val="20"/>
          <w:szCs w:val="20"/>
          <w:color w:val="auto"/>
        </w:rPr>
      </w:pPr>
    </w:p>
    <w:p>
      <w:pPr>
        <w:jc w:val="both"/>
        <w:ind w:left="60" w:right="140"/>
        <w:spacing w:after="0" w:line="266" w:lineRule="auto"/>
        <w:rPr>
          <w:sz w:val="20"/>
          <w:szCs w:val="20"/>
          <w:color w:val="auto"/>
        </w:rPr>
      </w:pPr>
      <w:r>
        <w:rPr>
          <w:rFonts w:ascii="Times New Roman" w:cs="Times New Roman" w:eastAsia="Times New Roman" w:hAnsi="Times New Roman"/>
          <w:sz w:val="18"/>
          <w:szCs w:val="18"/>
          <w:color w:val="auto"/>
        </w:rPr>
        <w:t>In connection with certain business acquisitions, we may be required to pay post-closing consideration to the sellers of those businesses if specific financial performance targets are met over a number of years as specified in the related purchase agreements. As of September 30, 2016 and December 31, 2015, the total estimated fair value of our contingent consideration liabilities was $11.3 million and $2.1 million, respectively.</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auto"/>
        </w:rPr>
        <w:t xml:space="preserve">Segments are defined by ASC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four operating segments, which are our reportable segments: Huron Healthcare, Huron Education and Life Sciences, Huron Business Advisory, and All Other.</w:t>
      </w:r>
    </w:p>
    <w:p>
      <w:pPr>
        <w:spacing w:after="0" w:line="133"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Huron Healthcare</w:t>
      </w:r>
    </w:p>
    <w:p>
      <w:pPr>
        <w:spacing w:after="0" w:line="189"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sz w:val="20"/>
          <w:szCs w:val="20"/>
          <w:color w:val="auto"/>
        </w:rPr>
      </w:pPr>
    </w:p>
    <w:p>
      <w:pPr>
        <w:ind w:left="720" w:hanging="712"/>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Huron Education and Life Sciences</w:t>
      </w:r>
    </w:p>
    <w:p>
      <w:pPr>
        <w:spacing w:after="0" w:line="189"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176" w:lineRule="exact"/>
        <w:rPr>
          <w:sz w:val="20"/>
          <w:szCs w:val="20"/>
          <w:color w:val="auto"/>
        </w:rPr>
      </w:pPr>
    </w:p>
    <w:p>
      <w:pPr>
        <w:ind w:left="720" w:hanging="712"/>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Business Advisory</w:t>
      </w:r>
    </w:p>
    <w:p>
      <w:pPr>
        <w:spacing w:after="0" w:line="189"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 Our Business Advisory practice resolves complex business issues and enhances client enterprise value through a suite of services including capital advisory, transaction advisory, operational improvement, restructuring and turnaround, valuation, and dispute advisory. Our Enterprise Performance Management and Analytics practice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w:t>
      </w:r>
    </w:p>
    <w:p>
      <w:pPr>
        <w:spacing w:after="0" w:line="15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Other</w:t>
      </w:r>
    </w:p>
    <w:p>
      <w:pPr>
        <w:spacing w:after="0" w:line="175"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Our All Other segment consists of any line of business not managed by our other operating segments. These businesses included our public sector consulting practice and our foreign consulting operations based in the Middle East, both of which we wound down in 2015.</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20"/>
          </w:cols>
          <w:pgMar w:left="24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table below sets forth information about our operating segments for the three and nine months ended September 30, 2016 and 2015, along with the items necessary to reconcile the segment information to the totals reported in the accompanying consolidated financial statements. Refer to Note 4 "Discontinued Operations" for information on the divestiture of the Huron Legal segment in 2015.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2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Huron Healthcare: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103,425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112,114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323,531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328,624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47,609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122,120</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Huron Education and Life Sciences: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45,696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42,056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134,050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124,892</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35,427</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Huron Business Advisory: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90,567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59,173</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13,514</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1,221</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(1,654)</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loss as a percentage of segment revenues</w:t>
            </w:r>
          </w:p>
        </w:tc>
        <w:tc>
          <w:tcPr>
            <w:tcW w:w="260" w:type="dxa"/>
            <w:vAlign w:val="bottom"/>
          </w:tcPr>
          <w:p>
            <w:pPr>
              <w:spacing w:after="0"/>
              <w:rPr>
                <w:sz w:val="21"/>
                <w:szCs w:val="21"/>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21"/>
                <w:szCs w:val="21"/>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1"/>
                <w:szCs w:val="21"/>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183,400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175,465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548,148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513,910</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54,636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53,266</w:t>
            </w: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191,556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602,784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567,176</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Earnings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58,328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63,181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173,978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169,407</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Items not allocated at the segment level: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 and losses, net</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26,587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84,332</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18,286</w:t>
            </w: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15,776</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19,553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54,791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51,013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2016 and December 31, 2015, no single client accounted for greater than 10% of our combined receivables and unbilled services balances.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2016 and 2015, no single client generated greater than 10% of our consolidated revenues.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“Huron,” “Company,” “we,” “us” and “our” refer to Huron Consulting Group Inc. and its subsidiaries.</w:t>
      </w:r>
    </w:p>
    <w:p>
      <w:pPr>
        <w:spacing w:after="0" w:line="10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2015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Huron is a global professional services firm focused on assisting clients with their most complex business issues by delivering high-value, quality solutions to support their long-term strategic objectives. We specialize in serving clients in the healthcare, higher education, life sciences, and commercial sectors as these organizations face significant transformational change and regulatory or economic pressures in dynamic market environments. With our deep industry and technical expertise, we provide advisory, consulting, technology, and analytic solutions to deliver sustainable and measurable results. We provide consulting services to a wide variety of both financially sound and distressed organizations, including healthcare organizations, leading academic institutions, Fortune 500 companies, and governmental entities. Huron has worked with more than 450 health systems, hospitals, and academic medical centers and more than 400 universities and research institutions.</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provide professional services through four operating segments: Huron Healthcare, Huron Education and Life Sciences, Huron Business Advisory and All Other.</w:t>
      </w:r>
    </w:p>
    <w:p>
      <w:pPr>
        <w:spacing w:after="0" w:line="131" w:lineRule="exact"/>
        <w:rPr>
          <w:sz w:val="20"/>
          <w:szCs w:val="20"/>
          <w:color w:val="auto"/>
        </w:rPr>
      </w:pPr>
    </w:p>
    <w:p>
      <w:pPr>
        <w:ind w:left="720" w:hanging="712"/>
        <w:spacing w:after="0"/>
        <w:tabs>
          <w:tab w:leader="none" w:pos="7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Healthcare</w:t>
      </w:r>
    </w:p>
    <w:p>
      <w:pPr>
        <w:spacing w:after="0" w:line="189" w:lineRule="exact"/>
        <w:rPr>
          <w:sz w:val="20"/>
          <w:szCs w:val="20"/>
          <w:color w:val="auto"/>
        </w:rPr>
      </w:pPr>
    </w:p>
    <w:p>
      <w:pPr>
        <w:ind w:left="660" w:right="60"/>
        <w:spacing w:after="0" w:line="255" w:lineRule="auto"/>
        <w:rPr>
          <w:sz w:val="20"/>
          <w:szCs w:val="20"/>
          <w:color w:val="auto"/>
        </w:rPr>
      </w:pPr>
      <w:r>
        <w:rPr>
          <w:rFonts w:ascii="Times New Roman" w:cs="Times New Roman" w:eastAsia="Times New Roman" w:hAnsi="Times New Roman"/>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sz w:val="20"/>
          <w:szCs w:val="20"/>
          <w:color w:val="auto"/>
        </w:rPr>
      </w:pPr>
    </w:p>
    <w:p>
      <w:pPr>
        <w:ind w:left="720" w:hanging="712"/>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Education and Life Sciences</w:t>
      </w:r>
    </w:p>
    <w:p>
      <w:pPr>
        <w:spacing w:after="0" w:line="189"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Business Advisory</w:t>
      </w:r>
    </w:p>
    <w:p>
      <w:pPr>
        <w:spacing w:after="0" w:line="189" w:lineRule="exact"/>
        <w:rPr>
          <w:sz w:val="20"/>
          <w:szCs w:val="20"/>
          <w:color w:val="auto"/>
        </w:rPr>
      </w:pPr>
    </w:p>
    <w:p>
      <w:pPr>
        <w:ind w:left="660" w:right="180"/>
        <w:spacing w:after="0" w:line="255" w:lineRule="auto"/>
        <w:rPr>
          <w:sz w:val="20"/>
          <w:szCs w:val="20"/>
          <w:color w:val="auto"/>
        </w:rPr>
      </w:pPr>
      <w:r>
        <w:rPr>
          <w:rFonts w:ascii="Times New Roman" w:cs="Times New Roman" w:eastAsia="Times New Roman" w:hAnsi="Times New Roman"/>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 Our Business Advisory practice resolves complex business issues and enhances client enterprise value through a suite of services including capital advisory, transaction advisory, operational improvement, restructuring and turnaround, valuation, and dispute advisory. Our Enterprise Performance Management and Analytics practice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w:t>
      </w:r>
    </w:p>
    <w:p>
      <w:pPr>
        <w:spacing w:after="0" w:line="154" w:lineRule="exact"/>
        <w:rPr>
          <w:sz w:val="20"/>
          <w:szCs w:val="20"/>
          <w:color w:val="auto"/>
        </w:rPr>
      </w:pPr>
    </w:p>
    <w:p>
      <w:pPr>
        <w:ind w:left="720" w:hanging="712"/>
        <w:spacing w:after="0"/>
        <w:tabs>
          <w:tab w:leader="none" w:pos="7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Other</w:t>
      </w:r>
    </w:p>
    <w:p>
      <w:pPr>
        <w:spacing w:after="0" w:line="189"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Our All Other segment consists of any line of business not managed by our other operating segments. These businesses included our public sector consulting practice and our foreign consulting operations based in the Middle East, both of which we wound down in 2015.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Services Management, Inc.</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 2016, we completed our acquisition of Healthcare Services Management, Inc. ("HSM"), a firm specializing in healthcare information technology and management consulting. HSM, based in Quincy, Massachusetts, helps healthcare providers maximize operational efficiencies through the adoption and optimization of IT and enterprise technology solutions. The acquisition strengthens Huron’s IT and electronic health record consulting services. The results of operations of HSM have been included in our consolidated financial statements and results of operations of our Huron Healthcare segment from the date of acquisition.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ADI Strategies, Inc.</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1, 2016, we completed our acquisition of the U.S. assets of ADI Strategies, Inc. ("ADI Strategies"). Based in San Francisco, California, ADI Strategies is a leading enterprise performance management, risk management, and business intelligence firm focused on implementing the Oracle enterprise application suite. The results of operations of ADI Strategies have been included in our consolidated financial statements and the results of operations of our Huron Business Advisory segment from the date of acquisition. We are also in the process of acquiring the international assets of ADI Strategies in Dubai and India, for which we currently expect to sign and close later in the fourth quarter of 2016 or early in 2017.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 Rounding Solutions, LLC</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1, 2016, we completed our acquisition of My 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The results of operations of MyRounding have been included in our consolidated financial statements and segment operating results of our Huron Healthcare segment from the date of acquisition.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many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coaches are largely dependent on the number of coaches we employ and the total value, scope, and terms of the consulting contracts under which they provide services, which are primarily fixed-fee contracts.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Fixed-fee engagements represented 44.5% and 59.9% of our revenues for the three months ended September 30, 2016 and 2015, respectively, and 48.5% and 58.0% of our revenues for the nine months ended September 30, 2016 and 2015, respectively.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billing arrangements as the related services or publications are provided. Time-and-expense engagements represented 42.2% and 29.7% of our revenues for the three months ended September 30, 2016 and 2015, respectively, and 37.6% and 28.8% of our revenues for the nine months ended September 30, 2016 and 2015, respectively.</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8.2% and 5.9% of our revenues for the three months ended September 30, 2016 and 2015, respectively, and 9.1% and 8.6% of our revenues for the nine months ended September 30, 2016 and 2015, respectively. Performance-based fee engagements may cause significant variations in quarterly revenues and operating results depending on the timing of achieving the performance-based criteria.</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 Software support and maintenance and subscription-based revenues represented 5.1% and 4.5% of our revenues for the three months ended September 30, 2016 and 2015, respectively, and 4.8% and 4.6% of our revenues for the nine months ended September 30, 2016 and 2015, respectively.</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optimal hiring and staffing. Moreover, our clients typically retain us on an engagement-by-engagement basis, rather than under long-term recurring contracts.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 of work performed for any particular client can vary widely from period to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Opportunities and Challenges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240" w:top="121" w:right="3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The results of operations for acquired businesses have been included in our results of operations since the date of their respective acquisition.</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60" w:right="1980"/>
        <w:spacing w:after="0" w:line="286" w:lineRule="auto"/>
        <w:rPr>
          <w:sz w:val="20"/>
          <w:szCs w:val="20"/>
          <w:color w:val="auto"/>
        </w:rPr>
      </w:pPr>
      <w:r>
        <w:rPr>
          <w:rFonts w:ascii="Times New Roman" w:cs="Times New Roman" w:eastAsia="Times New Roman" w:hAnsi="Times New Roman"/>
          <w:sz w:val="18"/>
          <w:szCs w:val="18"/>
          <w:b w:val="1"/>
          <w:bCs w:val="1"/>
          <w:color w:val="auto"/>
        </w:rPr>
        <w:t>Segment and Consolidated Operating Results (in thousands, except per share amounts):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Huron Healthcare: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262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-8255</wp:posOffset>
            </wp:positionV>
            <wp:extent cx="720344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5540" w:space="720"/>
            <w:col w:w="5140"/>
          </w:cols>
          <w:pgMar w:left="240" w:top="121" w:right="259" w:bottom="1440" w:gutter="0" w:footer="0" w:header="0"/>
          <w:type w:val="continuous"/>
        </w:sectPr>
      </w:pPr>
    </w:p>
    <w:tbl>
      <w:tblPr>
        <w:tblLayout w:type="fixed"/>
        <w:tblInd w:w="40" w:type="dxa"/>
        <w:tblCellMar>
          <w:top w:w="0" w:type="dxa"/>
          <w:left w:w="0" w:type="dxa"/>
          <w:bottom w:w="0" w:type="dxa"/>
          <w:right w:w="0" w:type="dxa"/>
        </w:tblCellMar>
      </w:tblP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103,425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112,114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323,531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328,624</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38,824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119,229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122,120</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Huron Education and Life Sciences: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45,696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42,056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134,050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124,892</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35,427</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Huron Business Advisory: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34,279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21,249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90,567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59,173</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19,342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13,514</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All Other:</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1,221</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(1,654)</w:t>
            </w: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 as a percentage of segment revenues</w:t>
            </w:r>
          </w:p>
        </w:tc>
        <w:tc>
          <w:tcPr>
            <w:tcW w:w="26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1"/>
                <w:szCs w:val="21"/>
                <w:color w:val="auto"/>
              </w:rPr>
            </w:pP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183,400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175,465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548,148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513,910</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16,091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54,636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53,266</w:t>
            </w: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and reimbursable expenses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202,493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191,556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602,784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567,176</w:t>
            </w:r>
          </w:p>
        </w:tc>
      </w:tr>
      <w:tr>
        <w:trPr>
          <w:trHeight w:val="67"/>
        </w:trPr>
        <w:tc>
          <w:tcPr>
            <w:tcW w:w="6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1"/>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Earnings 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58,328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63,181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173,978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169,407</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Items not allocated at the segment level: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 and losses, net</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26,996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85,089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84,332</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18,286</w:t>
            </w: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23,240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30,056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65,825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66,789</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(15,776)</w:t>
            </w: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 expense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19,553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24,018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54,791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51,013</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19,498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21,620</w:t>
            </w:r>
          </w:p>
        </w:tc>
      </w:tr>
      <w:tr>
        <w:trPr>
          <w:trHeight w:val="297"/>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12,288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14,277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35,293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29,393</w:t>
            </w: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from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6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 (excluding All Other):</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Number of full-time billable consultants (at period end)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70"/>
        </w:trPr>
        <w:tc>
          <w:tcPr>
            <w:tcW w:w="62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Average number of full-time billable consultants (for the period)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7"/>
        </w:trPr>
        <w:tc>
          <w:tcPr>
            <w:tcW w:w="6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Full-time billable consultant utilization rate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Huron 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70"/>
        </w:trPr>
        <w:tc>
          <w:tcPr>
            <w:tcW w:w="62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Full-time billable consultant average billing rate per hour </w:t>
            </w:r>
            <w:r>
              <w:rPr>
                <w:rFonts w:ascii="Times New Roman" w:cs="Times New Roman" w:eastAsia="Times New Roman" w:hAnsi="Times New Roman"/>
                <w:sz w:val="25"/>
                <w:szCs w:val="25"/>
                <w:b w:val="1"/>
                <w:bCs w:val="1"/>
                <w:color w:val="auto"/>
                <w:vertAlign w:val="superscript"/>
              </w:rPr>
              <w:t>(3)</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Huron 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Huron Business Advisory </w:t>
            </w:r>
            <w:r>
              <w:rPr>
                <w:rFonts w:ascii="Times New Roman" w:cs="Times New Roman" w:eastAsia="Times New Roman" w:hAnsi="Times New Roman"/>
                <w:sz w:val="25"/>
                <w:szCs w:val="25"/>
                <w:color w:val="auto"/>
                <w:vertAlign w:val="superscript"/>
              </w:rPr>
              <w:t>(4)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43"/>
        </w:trPr>
        <w:tc>
          <w:tcPr>
            <w:tcW w:w="6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Revenue per full-time billable consultant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Huron 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0"/>
        </w:trPr>
        <w:tc>
          <w:tcPr>
            <w:tcW w:w="628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Average number of full-time equivalents (for the period) </w:t>
            </w:r>
            <w:r>
              <w:rPr>
                <w:rFonts w:ascii="Times New Roman" w:cs="Times New Roman" w:eastAsia="Times New Roman" w:hAnsi="Times New Roman"/>
                <w:sz w:val="25"/>
                <w:szCs w:val="25"/>
                <w:b w:val="1"/>
                <w:bCs w:val="1"/>
                <w:color w:val="auto"/>
                <w:vertAlign w:val="superscript"/>
              </w:rPr>
              <w:t>(5)</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Huron 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Huron Business Advisory</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6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Revenue per full-time equivalent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Huron 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7"/>
        </w:trPr>
        <w:tc>
          <w:tcPr>
            <w:tcW w:w="6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0"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full-time professionals who provide consulting services and generate revenues based on the number of hours worked.</w:t>
      </w:r>
    </w:p>
    <w:p>
      <w:pPr>
        <w:spacing w:after="0" w:line="63" w:lineRule="exact"/>
        <w:rPr>
          <w:rFonts w:ascii="Times New Roman" w:cs="Times New Roman" w:eastAsia="Times New Roman" w:hAnsi="Times New Roman"/>
          <w:sz w:val="18"/>
          <w:szCs w:val="18"/>
          <w:color w:val="auto"/>
        </w:rPr>
      </w:pPr>
    </w:p>
    <w:p>
      <w:pPr>
        <w:ind w:left="540" w:right="20" w:hanging="532"/>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4" w:lineRule="exact"/>
        <w:rPr>
          <w:rFonts w:ascii="Times New Roman" w:cs="Times New Roman" w:eastAsia="Times New Roman" w:hAnsi="Times New Roman"/>
          <w:sz w:val="18"/>
          <w:szCs w:val="18"/>
          <w:color w:val="auto"/>
        </w:rPr>
      </w:pPr>
    </w:p>
    <w:p>
      <w:pPr>
        <w:ind w:left="540" w:right="220" w:hanging="532"/>
        <w:spacing w:after="0" w:line="28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billing rate per hour for our full-time billable consultants is calculated by dividing revenues for a period by the number of hours worked on client assignments during the same period.</w:t>
      </w:r>
    </w:p>
    <w:p>
      <w:pPr>
        <w:spacing w:after="0" w:line="1"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Huron Business Advisory segment includes our India EPM&amp;A practice, formerly known as Rittman Mead Consulting Private Limited ("Rittman Mead India"), a business that we acquired in July 2015. Absent the impact of our India EPM&amp;A practice, the average billing rate per hour for Huron Business Advisory for the nine months ended September 30, 2016 and 2015 would have been $234 and $255 per hour, respectively.</w:t>
      </w:r>
    </w:p>
    <w:p>
      <w:pPr>
        <w:spacing w:after="0" w:line="14" w:lineRule="exact"/>
        <w:rPr>
          <w:rFonts w:ascii="Times New Roman" w:cs="Times New Roman" w:eastAsia="Times New Roman" w:hAnsi="Times New Roman"/>
          <w:sz w:val="18"/>
          <w:szCs w:val="18"/>
          <w:color w:val="auto"/>
        </w:rPr>
      </w:pPr>
    </w:p>
    <w:p>
      <w:pPr>
        <w:ind w:left="540" w:right="60" w:hanging="532"/>
        <w:spacing w:after="0" w:line="28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1420"/>
          </w:cols>
          <w:pgMar w:left="240" w:top="121" w:right="239" w:bottom="887"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887"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183,400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175,465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548,148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513,910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12,288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35,293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29,393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21,620</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15,776</w:t>
            </w: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34,342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30,388</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 (EBITDA)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100,167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97,177</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losses, net</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36,927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41,652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104,790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99,278</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 as a percentage of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on convertible notes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adjustments, net of tax</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17,035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46,428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76"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076"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non-GAAP financial measures include adjustments for the following items:</w:t>
      </w:r>
    </w:p>
    <w:p>
      <w:pPr>
        <w:spacing w:after="0" w:line="169" w:lineRule="exact"/>
        <w:rPr>
          <w:sz w:val="20"/>
          <w:szCs w:val="20"/>
          <w:color w:val="auto"/>
        </w:rPr>
      </w:pPr>
    </w:p>
    <w:p>
      <w:pPr>
        <w:ind w:firstLine="105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We have incurred charges due to the restructuring of various parts of our business. These restructuring charges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26" w:lineRule="exact"/>
        <w:rPr>
          <w:sz w:val="20"/>
          <w:szCs w:val="20"/>
          <w:color w:val="auto"/>
        </w:rPr>
      </w:pPr>
    </w:p>
    <w:p>
      <w:pPr>
        <w:ind w:right="300" w:firstLine="105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losses, net: </w:t>
      </w:r>
      <w:r>
        <w:rPr>
          <w:rFonts w:ascii="Times New Roman" w:cs="Times New Roman" w:eastAsia="Times New Roman" w:hAnsi="Times New Roman"/>
          <w:sz w:val="18"/>
          <w:szCs w:val="18"/>
          <w:color w:val="auto"/>
        </w:rPr>
        <w:t>We have excluded the effects of remeasurement gains and losses related to contingent acquisition liabilities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loss recorded in the second quarter of 2015 to permit comparability with periods that were not impacted by these items.</w:t>
      </w:r>
    </w:p>
    <w:p>
      <w:pPr>
        <w:spacing w:after="0" w:line="104" w:lineRule="exact"/>
        <w:rPr>
          <w:sz w:val="20"/>
          <w:szCs w:val="20"/>
          <w:color w:val="auto"/>
        </w:rPr>
      </w:pPr>
    </w:p>
    <w:p>
      <w:pPr>
        <w:ind w:right="80"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We have excluded the effect of amortization of intangible assets from the calculation of adjusted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continuing operations presented above. Amortization of intangibles is inconsistent in its amount and frequency and is significantly affected by the timing and size of our acquisitions.</w:t>
      </w:r>
    </w:p>
    <w:p>
      <w:pPr>
        <w:spacing w:after="0" w:line="120" w:lineRule="exact"/>
        <w:rPr>
          <w:sz w:val="20"/>
          <w:szCs w:val="20"/>
          <w:color w:val="auto"/>
        </w:rPr>
      </w:pPr>
    </w:p>
    <w:p>
      <w:pPr>
        <w:ind w:right="20" w:firstLine="105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interest on convertible notes: </w:t>
      </w:r>
      <w:r>
        <w:rPr>
          <w:rFonts w:ascii="Times New Roman" w:cs="Times New Roman" w:eastAsia="Times New Roman" w:hAnsi="Times New Roman"/>
          <w:sz w:val="18"/>
          <w:szCs w:val="18"/>
          <w:color w:val="auto"/>
        </w:rPr>
        <w:t>We incur non-cash interest expense relating to the implied value of the equity conversion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 from the calculation of adjusted net income from continuing operations.</w:t>
      </w:r>
    </w:p>
    <w:p>
      <w:pPr>
        <w:spacing w:after="0" w:line="1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 xml:space="preserve">Tax effect: </w:t>
      </w:r>
      <w:r>
        <w:rPr>
          <w:rFonts w:ascii="Times New Roman" w:cs="Times New Roman" w:eastAsia="Times New Roman" w:hAnsi="Times New Roman"/>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right="80"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Interest and other expenses, Depreciation and amortization: </w:t>
      </w:r>
      <w:r>
        <w:rPr>
          <w:rFonts w:ascii="Times New Roman" w:cs="Times New Roman" w:eastAsia="Times New Roman" w:hAnsi="Times New Roman"/>
          <w:sz w:val="18"/>
          <w:szCs w:val="18"/>
          <w:color w:val="auto"/>
        </w:rPr>
        <w:t>We have excluded the effects of income tax expense,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940"/>
        <w:spacing w:after="0" w:line="440" w:lineRule="auto"/>
        <w:rPr>
          <w:sz w:val="20"/>
          <w:szCs w:val="20"/>
          <w:color w:val="auto"/>
        </w:rPr>
      </w:pPr>
      <w:r>
        <w:rPr>
          <w:rFonts w:ascii="Times New Roman" w:cs="Times New Roman" w:eastAsia="Times New Roman" w:hAnsi="Times New Roman"/>
          <w:sz w:val="18"/>
          <w:szCs w:val="18"/>
          <w:b w:val="1"/>
          <w:bCs w:val="1"/>
          <w:color w:val="auto"/>
        </w:rPr>
        <w:t>Three Months Ended September 30, 2016 Compared to Three Months Ended September 30, 2015 Revenues</w:t>
      </w:r>
    </w:p>
    <w:p>
      <w:pPr>
        <w:spacing w:after="0" w:line="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Revenues increased $7.9 million, or 4.5%, to $183.4 million for the third quarter of 2016 from $175.5 million for the third quarter of 2015. Third quarter 2016 revenues included $17.1 million from our acquisitions of Cloud62, Inc. ("Cloud62"), MyRounding, ADI Strategies, and HSM, all of which were completed subsequent to the third quarter of 2015.</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Of the overall $7.9 million increase in revenues, $3.0 million was attributable to our full-time billable consultants and $4.9 million was attributable to our full-time equivalents.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increase in full-time billable consultant revenues reflected an increase in the average number of billable consultants, partially offset by decreases in the consultant utilization rate and average billing rate. As discussed below in Segment Results, this increase in revenue attributable to our full-time billable consultants reflected our acquisitions within the Huron Business Advisory and Huron Healthcare segments and strengthened demand for our services in the Huron Education and Life Sciences segment, partially offset by decreased demand for our services in the Huron Healthcare segment.</w:t>
      </w:r>
    </w:p>
    <w:p>
      <w:pPr>
        <w:spacing w:after="0" w:line="1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increase in revenues from our full-time equivalents reflected increases in both revenue per full-time equivalent and the average number of full-time equivalents.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Costs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total direct costs, including amortization of intangible assets and software development costs, increased $12.8 million, or 12.9%, to $112.4 million in the three months ended September 30, 2016, from $99.6 million in the three months ended September 30, 2015. The $12.8 million increase primarily related to a $12.2 million increase in salaries and related expenses for our revenue-generating professionals, which was largely driven by increased headcount from acquisitions and our ongoing cloud-based enterprise resource planning (ERP) investment, and a $3.3 million increase in performance bonus expense for our revenue-generating professionals, which was primarily the result of a significant performance bonus adjustment in the third quarter of 2015 to decrease our year-to-date performance bonus accrual due to a revised full year forecast at that time. These increases to total direct costs were partially offset by a $1.3 million decrease in share-based compensation expense for our revenue-generating professionals and a $0.7 million decrease in intangible asset amortization expense. As a percentage of revenues, our total direct costs increased to 61.3% during the third quarter of 2016 compared to 56.7% during the third quarter of 2015, primarily due to the items described above.</w:t>
      </w:r>
    </w:p>
    <w:p>
      <w:pPr>
        <w:spacing w:after="0" w:line="13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Total direct costs for the three months ended September 30, 2016 included $4.1 million of amortization expense for intangible assets, primarily representing customer contracts and software acquired in business combinations, and internal software development costs, compared to $4.7 million of amortization expense for the same prior year period. The $0.7 million decrease in amortization expense was primarily attributable to the decreasing amortization expense of customer contracts acquired in our Studer Group acquisition, due to the accelerated basis of amortization, partially offset by amortization of intangible assets acquired in the ADI Strategies and HSM acquisitions, which we completed in the second and third quarters of 2016, respectively. See Note 5 "Acquisitions" and Note 6 "Goodwill and Intangible Assets" within the notes to our consolidated financial statements for additional information about our intangible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Losses, Net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decreased $1.0 million, or 2.5%, to $38.3 million in the third quarter of 2016 from $39.2 million in the third quarter of 2015. The $1.0 million decrease primarily related to a $0.8 million decrease in legal expenses, a $0.8 million decrease in recruiting expenses, a $0.6 million decrease in facilities and other office-related expenses, a $0.5 million decrease in outside professional services, and a $0.3 million decrease in computer equipment and supplies, largely offset by a $1.3 million increase in salaries and related expenses for our support personnel and a $1.0 million increase in share-based compensation for our support personnel. The increase in share-based compensation expense for our support personnel is primarily due to a $0.8 million expense reversal recorded in the third quarter of 2015 for 2015 performance-based awards that were no longer expected to be earned at that time. As a percentage of revenues, selling, general and administrative expenses decreased to 20.9% during the third quarter of 2016 compared to 22.4% during the third quarter of 2015, primarily due to the items described above.</w:t>
      </w:r>
    </w:p>
    <w:p>
      <w:pPr>
        <w:spacing w:after="0" w:line="13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Restructuring charges for the third quarter of 2016 totaled $1.0 million, compared to $0.3 million for the third quarter of 2015. The charges for the third quarter of both 2016 and 2015 primarily related to updated lease accrual assumptions for the Washington, D.C. space vacated in the fourth quarter of 2014.</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by $1.6 million to $8.1 million in the three months ended September 30, 2016, from $6.5 million in the three months ended September 30, 2015. The increase was primarily attributable to an increase in amortization expense for a customer-related intangible asset acquired in the Studer Group acquisition and amortization expense for intangible assets acquired in the ADI Strategies and HSM acquisitions. Intangible asset amortization included within operating expenses primarily</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relates to certain customer relationships, non-competition agreements, and trade names acquired in connection with our business acquisitions. See Note 5 "Acquisitions" and Note 6 "Goodwill and Intangible Assets" within the notes to our consolidated financial statements for additional information about our 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Operating income decreased $6.8 million, or 22.7%, to $23.2 million in the third quarter of 2016 from $30.1 million in the third quarter of 2015. Operating margin, which is defined as operating income expressed as a percentage of revenues, decreased to 12.7% in the three months ended September 30, 2016, compared to 17.1% in the three months ended September 30, 2015. The decrease in operating margin was primarily attributable to the increase in salaries and related expenses and performance bonus expense for our revenue-generating professionals as a percentage of revenues, partially offset by the decrease in share-based compensation expense for our revenue-generating professionals during the first three months of 2016 compared to the same prior year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other expense, net decreased by $2.4 million to $3.7 million in the third quarter of 2016 from $6.0 million in the third quarter of 2015. The decrease was primarily attributable to a $0.6 million gain in the third quarter of 2016 from an increase in the market value of our investments that are used to fund our deferred compensation liability, compared to a $0.8 million loss in the third quarter of 2015 from a decrease in the market value of these investments. The decrease in total other expense, net was also due to a $0.5 million decrease in interest expense. The decrease in interest expense was primarily due to lower levels of borrowings under our credit facility during the third quarter of 2016 compared to the third quarter of 2015.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the third quarter of 2016, our effective tax rate was 37.2% as we recognized income tax expense from continuing operations of $7.3 million on income from continuing operations of $19.6 million. For the third quarter of 2015, our effective tax rate was 40.6% as we recognized income tax expense from continuing operations of $9.7 million on income from continuing operations of $24.0 million. The effective tax rate for the three months ended September 30, 2016 was lower than the statutory rate, inclusive of state income taxes, primarily due to non-taxable income, valuation allowance reductions, and certain credits and deductions, partially offset by non-deductible business expenses. The effective tax rate for the three months ended September 30, 2015 was higher than the statutory tax rate, inclusive of state income taxes, primarily due to non-deductible business expenses and foreign losses with no tax benefit, partially offset by certain credits and deductions.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decreased by $2.0 million, or 13.9%, to $12.3 million for the three months ended September 30, 2016, from $14.3 million for the same period last year. As a result of the decrease in net income from continuing operations, partially offset by the reduction in diluted shares outstanding due to the share repurchases in the fourth quarter of 2015 and first quarter of 2016, diluted earnings per share from continuing operations for the third quarter of 2016 was $0.57 compared to $0.63 for the third quarter of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income from discontinued operations was $5.1 million for the three months ended September 30, 2015. See Note 4 "Discontinued Operations" within the notes to our consolidated financial statements for additional information about our discontinued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EBITDA decreased $5.9 million to $35.4 million for the three months ended September 30, 2016, from $41.3 million for the three months ended September 30, 2015. Adjusted EBITDA decreased $4.7 million to $36.9 million in the third quarter of 2016 from $41.7 million in the third quarter of 2015. The decrease in both EBITDA and Adjusted EBITDA was primarily due to the decrease in segment operating income, as discussed below in Segment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from Continuing Operations</w:t>
      </w:r>
    </w:p>
    <w:p>
      <w:pPr>
        <w:spacing w:after="0" w:line="17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Adjusted net income from continuing operations decreased $0.7 million, or 3.3%, to $19.7 million in the third quarter of 2016 compared to $20.4 million in the third quarter of 2015. Adjusted diluted earnings per share from continuing operations was $0.92 for the third quarter of 2016, compared to $0.90 for the third quarter of 2015. The increase in adjusted diluted earnings per share from continuing operations was due to the reduction in diluted shares outstanding, which resulted from the share repurchases in the fourth quarter of 2015 and first quarter of 2016, partially offset by the decrease in adjusted net income from continuing operations.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Huron Healthcare segment revenues decreased $8.7 million, or 7.8%, to $103.4 million for the third quarter of 2016 from $112.1 million for the third quarter of 2015. Revenues for the third quarter of 2016 included $3.9 million from our acquisitions of MyRounding and HSM, both of which were completed subsequent to the third quarter of 2015.</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2016, revenues from fixed-fee engagements, time-and-expense engagements, performance-based arrangements, and software support and maintenance and subscriptions arrangements represented 67.0%, 13.4%, 13.4%, and 6.2% of this segment’s revenues, respectively, compared to 78.7%, 7.4%, 8.8%, and 5.1% of this segment’s revenues, respectively, for the same prior year period.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the overall $8.7 million decrease in revenues, $11.7 million was attributable to a decrease in revenue from our full-time billable consultants, partially offset by a $3.0 million increase in revenue generated by our full-time equivalents.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decrease in revenue attributable to our full-time billable consultants reflected decreases in the average number of full-time billable consultants, consultant utilization rate, and average billing rate. This decrease in revenue was primarily driven by decreases in revenue in our revenue cycle and cost and clinical solutions compared to the prior year. Performance-based fee revenue was $13.8 million during the third quarter of 2016 compared to $9.9 million during the third quarter of 2015.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3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increase in revenue attributable to our full-time equivalents reflected increases in both revenue per full-time equivalent and the average number of full-time equivalents. This increase in revenue was primarily driven by an increase in revenue in our Studer Group practice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Huron Healthcare segment operating income decreased $8.8 million, or 18.5%, to $38.8 million for the three months ended September 30, 2016, from $47.6 million for the three months ended September 30, 2015. The Huron Healthcare segment operating margin, defined as segment operating income expressed as a percentage of segment revenues, decreased to 37.5% for the third quarter of 2016 from 42.5% in the same period last year. The decrease in this segment’s operating margin was primarily attributable to an increase in salaries and related expenses for our revenue-generating professionals as a percentage of revenues and an increase in performance bonus expense for our revenue-generating professionals, which was primarily the result of a significant performance bonus adjustment in the third quarter of 2015 to decrease our year-to-date performance bonus accrual due to a revised full year forecast at that time. These decreases to this segment's operating margin were partially offset by a decrease in share-based compensation expense for our revenue-generating professionals as a percentage of revenues.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Huron Education and Life Sciences segment revenues increased $3.6 million, or 8.7%, to $45.7 million for the third quarter of 2016 from $42.1 million for the third quarter of 2015.</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Revenues from fixed-fee engagements, time-and-expense engagements, performance-based arrangements, and software support and maintenance and subscriptions arrangements represented 18.8%, 74.9%, 1.4%, and 4.9% of this segment’s revenues, respectively, during the third quarter of 2016. Revenues from fixed-fee engagements, time-and-expense engagements, and software support and maintenance and subscriptions arrangements represented 32.5%, 62.5%, and 5.0% of this segment’s revenues, respectively, during the third quarter of 2015.</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$3.6 million increase in revenues was attributable to our full-time billable consultants and reflected increases in the average number of full-time billable consultants and the average billing rate, partially offset by a decrease in our consultant utilization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Huron Education and Life Sciences segment operating income increased $1.7 million, or 15.8%, to $12.1 million for the three months ended September 30, 2016, from $10.5 million for the three months ended September 30, 2015. Segment operating margin increased to 26.5% for the third quarter of 2016 from 24.9% in the same period last year. The increase in this segment’s operating margin was</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primarily attributable to decreases in performance bonus expense for our revenue-generating professionals, contractor expense, intangible asset amortization expense, and project costs, partially offset by increases in salaries and related expenses for our revenue-generating professionals and training expenses as a percentage of revenues, which were largely the result of our ongoing cloud-based ERP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Huron Business Advisory segment revenues increased $13.0 million, or 61.3%, to $34.3 million for the third quarter of 2016 from $21.2 million for the third quarter of 2015. Revenues for the third quarter of 2016 included $13.3 million from our acquisitions of Cloud62 and ADI Strategies, both of which were completed subsequent to the third quarter of 2015.</w:t>
      </w:r>
    </w:p>
    <w:p>
      <w:pPr>
        <w:spacing w:after="0" w:line="1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Revenues from fixed-fee engagements, time-and-expense engagements, performance-based arrangements, and software support and maintenance and subscriptions arrangements represented 10.9%, 85.1%, 2.0%, and 2.0% of this segment’s revenues, respectively, during the third quarter of 2016, compared to 15.8%, 81.4%, 2.4%, and 0.4% of this segment’s revenues, respectively, during the third quarter of 2015. Performance-based fee revenue was $0.7 million for the third quarter of 2016, all of which was generated by Huron Transaction Advisory LLC, our registered broker-dealer. Performance-based fee revenue was $0.5 million for the third quarter of 2015, of which $0.3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1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Of the overall $13.0 million increase in revenues, $11.2 million was attributable to our full-time billable consultants and $1.8 million was attributable to our full-time equivalents. The increase in revenue from our full-time billable consultants reflected an increase in the average number of full-time billable consultants, partially offset by decreases in consultant utilization rate and average billing rate. The increase in the average number of full-time billable consultants was primarily the result of our acquisitions of ADI Strategies and Cloud62. The increase in revenue from our full-time equivalents reflected increases in both the average number of full-time equivalents and revenue per full-time equivalent in the third quarter of 2016 compared to the same prior 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Huron Business Advisory segment operating income increased by $2.1 million, or 41.1%, to $7.4 million for the three months ended September 30, 2016, from $5.2 million for the three months ended September 30, 2015. Segment operating margin decreased to 21.5% for the third quarter of 2016 from 24.6% in the same period last year. The decrease in this segment’s operating margin was primarily attributable to increases in salaries and related expenses and performance bonus expense for our revenue-generating professionals as a percentage of revenues. These decreases to operating margin were partially offset by decreases in share-based compensation expense for our revenue-generating professionals and severance expense, as well as revenue growth that outpaced an increase in salaries and related expenses for our support personnel. The overall decrease in this segment's operating margin reflects an increase in the Enterprise Performance Management and Analytics practice revenue as a percentage of this segment's total revenue, as the recent growth of this practice, which has lower operating margins, outpaced the growth of the legacy Financial Advisory practice.</w:t>
      </w:r>
    </w:p>
    <w:p>
      <w:pPr>
        <w:spacing w:after="0" w:line="127" w:lineRule="exact"/>
        <w:rPr>
          <w:sz w:val="20"/>
          <w:szCs w:val="20"/>
          <w:color w:val="auto"/>
        </w:rPr>
      </w:pPr>
    </w:p>
    <w:p>
      <w:pPr>
        <w:ind w:right="4120"/>
        <w:spacing w:after="0" w:line="440" w:lineRule="auto"/>
        <w:rPr>
          <w:sz w:val="20"/>
          <w:szCs w:val="20"/>
          <w:color w:val="auto"/>
        </w:rPr>
      </w:pPr>
      <w:r>
        <w:rPr>
          <w:rFonts w:ascii="Times New Roman" w:cs="Times New Roman" w:eastAsia="Times New Roman" w:hAnsi="Times New Roman"/>
          <w:sz w:val="18"/>
          <w:szCs w:val="18"/>
          <w:b w:val="1"/>
          <w:bCs w:val="1"/>
          <w:color w:val="auto"/>
        </w:rPr>
        <w:t>Nine Months Ended September 30, 2016 Compared to Nine Months Ended September 30, 2015 Revenues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Revenues increased $34.2 million, or 6.7%, to $548.1 million for the first nine months of 2016 from $513.9 million for the first nine months of 2015. Revenues for the first nine months of 2016 included $28.1 million of revenues from our acquisitions of Cloud62, MyRounding, ADI Strategies, and HSM, all of which were completed subsequent to the third quarter of 2015, and $11.2 million of incremental revenues due to the full period impact of our acquisitions of Studer Group, which we completed mid-first quarter 2015, and Rittman Mead India, which we completed at the start of the third quarter of 2015.</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the overall $34.2 million increase in revenues, $17.5 million was attributable to our full-time billable consultants and $16.7 million was attributable to our full-time equivalents.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increase in full-time billable consultant revenues was driven by an increase in the average number of billable consultants, partially offset by decreases in the average billing rate and consultant utilization rate. As discussed below in Segment Results, this increase in revenue reflected the acquisitions in our Huron Business Advisory and Huron Healthcare segments and strengthened demand for our services in the Huron Business Advisory and Huron Education and Life Sciences segments. These increases to revenue were partially offset by lower revenues from full-time billable consultants in our Huron Healthcare segment, which was largely driven by a decrease in revenue in our revenue cycle and cost and clinical solutions.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full-time equivalent revenues was primarily attributable to the full period impact of our acquisition of Studer Group, as well as increased use of contractors in the Business Advisory segment, largely due to our acquisition of ADI Strategies, and reflected an increase in the average number of full-time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Costs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total direct costs, including amortization of intangible assets and software development costs, increased $25.0 million, or 8.1%, to $334.6 million in the nine months ended September 30, 2016, from $309.6 million in the nine months ended September 30, 2015. Direct costs for our Studer Group practice, which we acquired mid-first quarter 2015, totaled $34.9 million in the first nine months of 2016, compared to $29.6 million in the first nine months of 2015. The overall $25.0 million increase primarily related to a $26.7 million increase in salaries and related expenses for our revenue-generating professionals, which was primarily driven by increased headcount from acquisitions and our ongoing cloud-based ERP investment, and a $2.1 million increase in performance bonus expense for our revenue-generating professionals, partially offset by a $2.8 million decrease in share-based compensation expense for our revenue-generating professionals and a $1.0 million decrease in intangible asset amortization expense. As a percentage of revenues, our total direct costs increased to 61.0% during the first nine months of 2016 compared to 60.2% during the first nine months of 2015 primarily due to the items described above.</w:t>
      </w:r>
    </w:p>
    <w:p>
      <w:pPr>
        <w:spacing w:after="0" w:line="1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Total direct costs for the nine months ended September 30, 2016 included $11.3 million of amortization expense for intangible assets, primarily representing customer contracts and software acquired in business combinations, and internal software development costs, compared to $12.1 million of amortization expense for the same prior year period. The $0.8 million decrease in amortization expense was primarily attributable to the decreasing amortization expense of customer contracts acquired in our Studer Group acquisition, due to the accelerated basis of amortization, and a technology-related intangible asset that became fully amortized in 2015, partially offset by amortization of intangible assets acquired in the ADI Strategies and HSM acquisitions, which we completed in the second and third quarters of 2016, respectively. See Note 5 "Acquisitions" and Note 6 "Goodwill and Intangible Assets" within the notes to our consolidated financial statements for additional information about our intangible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Losses, Net</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$2.7 million, or 2.3%, to $119.9 million in the nine months ended September 30, 2016, from $117.3 million in the nine months ended September 30, 2015. Selling, general and administrative expenses for our Studer Group practice, which we acquired mid-first quarter 2015, totaled $16.6 million in the first nine months of 2016, compared to $16.8 million in the first nine months of 2015. The overall $2.7 million increase was primarily related to a $4.2 million increase in salaries and related expenses for our support personnel, a $1.3 million increase in share-based compensation expense for our support personnel, and a $1.3 million increase in promotion and sponsorship expense, partially offset by a $1.0 million decrease in facilities and other office-related expenses, a $0.9 million decrease in legal expenses, a $0.5 million decrease in outside professional services, and a $0.4 million decrease in recruiting expenses. As a percentage of revenues, selling, general and administrative expenses decreased to 21.9% during the first nine months of 2016 compared to 22.8% during the first nine months of 2015 primarily due to the revenue growth that outpaced the increase in selling, general and administrative expenses.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Restructuring charges for the first nine months of 2016 totaled $4.1 million, compared to $1.6 million for the first nine months of 2015. The charges for the first nine months of 2016 primarily consisted of $1.5 million related to updated lease accrual assumptions for our Washington, D.C. space vacated in the fourth quarter of 2014, $1.2 million related to workforce reductions in our Healthcare segment to better align our resources with market demand, $0.9 million related to workforce reductions in our corporate operations as we adjust our infrastructure to align with our Huron Legal divestiture, and $0.2 million related to the wind down of our foreign consulting operations based in the Middle East. The charges for the first nine months of 2015 primarily consisted of $1.2 million in workforce reductions to better align our resources with market demand, of which $1.0 million related to our All Other segment for the wind down of our public sector consulting practice and our foreign consulting operations based in the Middle East and $0.2 million related to our corporate operations, and a $0.3 million charge related to updated lease accrual assumptions for the Washington, D.C. space vacated in the fourth quarter of 2014.</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by $4.8 million to $23.1 million in the nine months ended September 30, 2016, from $18.3 million in the nine months ended September 30, 2015. The increase was primarily attributable to amortization expense for intangible assets acquired in the Studer Group acquisition, as well as amortization expense for intangible assets acquired in the Cloud62, ADI Strategies, and HSM acquisitions. Intangible asset amortization included within operating expenses primarily relates to certain customer relationships, non-competition agreements, and trade names acquired in connection with our business acquisitions.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decreased $1.0 million, or 1.4%, to $65.8 million in the first nine months of 2016 from $66.8 million in the first nine months of 2015. Operating margin decreased to 12.0% in the nine months ended September 30, 2016, compared to 13.0% in the nine months ended September 30, 2015. The decrease in operating margin was primarily attributable to the increase in salaries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related expenses for our revenue-generating professionals as a percentage of revenues during the first nine months of 2016 compared to the same prior year period, partially offset by the decrease in share-based compensation expense for our revenue-generating professionals.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Total other expense, net decreased by $4.7 million to $11.0 million in the first nine months of 2016 from $15.8 million in the first nine months of 2015. The overall decrease was partially attributable to a $1.0 million gain in the first nine months of 2016 from an increase in the market value of our investments that are used to fund our deferred compensation liability, compared to a $0.7 million loss in the first nine months of 2015 from a decrease in the market value of these investments. The overall decrease was also attributable to a $1.5 million decrease in interest expense and $0.3 million in foreign currency transaction gains for the first nine months of 2016 compared to $1.3 million in foreign currency transaction losses for the same prior year period. The decrease in interest expense was due to lower levels of borrowings under our credit facility during the first nine months of 2016 compared to the first nine months of 2015.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For the nine months ended September 30, 2016, our effective tax rate was 35.6% as we recognized income tax expense of $19.5 million on income of $54.8 million. For the nine months ended September 30, 2015, our effective tax rate was 42.4% as we recognized income tax expense of $21.6 million on income of $51.0 million. The effective tax rate for the nine months ended September 30, 2016 was lower than the statutory rate, inclusive of state income taxes, primarily due to the year-to-date impact of a discrete favorable adjustment to our state tax rate </w:t>
      </w:r>
      <w:r>
        <w:rPr>
          <w:rFonts w:ascii="Times New Roman" w:cs="Times New Roman" w:eastAsia="Times New Roman" w:hAnsi="Times New Roman"/>
          <w:sz w:val="18"/>
          <w:szCs w:val="18"/>
          <w:u w:val="single" w:color="auto"/>
          <w:color w:val="0000FF"/>
        </w:rPr>
        <w:t>in the second quarter of 2016</w:t>
      </w:r>
      <w:r>
        <w:rPr>
          <w:rFonts w:ascii="Times New Roman" w:cs="Times New Roman" w:eastAsia="Times New Roman" w:hAnsi="Times New Roman"/>
          <w:sz w:val="18"/>
          <w:szCs w:val="18"/>
          <w:color w:val="auto"/>
        </w:rPr>
        <w:t>, non-taxable income, valuation allowance reductions, certain credits and deductions, and a discrete tax benefit related to share-based compensation, partially offset by non-deductible business expenses. The effective tax rate for the nine months ended September 30, 2015 was higher than the statutory rate, inclusive of state income taxes, primarily due to non-deductible expenses, foreign losses with no tax benefit, and an increase in our valuation allowance.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increased by $5.9 million, or 20.1%, to $35.3 million for the nine months ended September 30, 2016, from $29.4 million for the same prior year period. As a result of the increase in net income, coupled with the reduction in diluted shares outstanding due to the share repurchases in the fourth quarter of 2015 and first quarter of 2016, diluted earnings per share from continuing operations for the first nine months of 2016 was $1.65 compared to $1.30 for the first nine months of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Net loss from discontinued operations for the nine months ended September 30, 2016 was $1.8 million and primarily related to obligations for former employees, legal fees, and updated lease assumptions for vacated office space directly related to the sale of the Huron Legal segment. Net income from discontinued operations for the nine months ended September 30, 2015 was $10.3 million. See Note 4 "Discontinued Operations" within the notes to our consolidated financial statements for additional information about our discontinued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increased $3.0 million to $100.2 million for the nine months ended September 30, 2016, from $97.2 million for the nine months ended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September 30, 2015. Adjusted EBITDA increased $5.5 million to $104.8 million in the first nine months of 2016 from $99.3 million in the first nine months of 2015. The increase in both EBITDA and Adjusted EBITDA was primarily due to the increase in segment operating income, as discussed below in Segment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from Continuing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net income from continuing operations increased $9.9 million to $56.3 million in the first nine months of 2016 compared to $46.4 million in the first nine months of 2015. As a result of the increase in adjusted net income from continuing operations, coupled with the reduction in diluted shares outstanding due to the share repurchases in the fourth quarter of 2015 and first quarter of 2016, adjusted diluted earnings per share from continuing operations for the first nine months of 2016 was $2.63 compared to $2.05 for the first nine months of 2015.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Huron Healthcare segment revenues decreased $5.1 million, or 1.5%, to $323.5 million for the first nine months of 2016 from $328.6 million for the first nine months of 2015. Revenues for the first nine months of 2016 included $4.5 million from our acquisitions of MyRounding and HSM, both of which were completed subsequent to the third quarter of 2015, and $10.7 million of incremental revenues due to the full period impact of our acquisition of Studer Group, which we completed mid-first quarter 2015.</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2016, revenues from fixed-fee engagements, time-and-expense engagements, performance-based arrangements, and software support and maintenance and subscriptions arrangements represented 70.4%, 10.7%, 13.1%, and 5.8% of this segment’s revenues, respectively, compared to 75.0%, 7.5%, 12.1%, and 5.4% of this segment’s revenues, respectively, for the same prior year period.</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Of the overall $5.1 million decrease in revenues, $19.7 million was attributable to a decrease in revenue from our full-time billable consultants, partially offset by a $14.6 million increase in revenue generated by our full-time equivalents.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decrease in revenue attributable to our full-time billable consultants reflected decreases in the average number of full-time billable consultants and the average billing rate, partially offset by an increase in consultant utilization rate. This decrease in revenue was largely driven by a decrease in revenue in our revenue cycle and cost and clinical solutions compared to the prior year. Performance-based fee revenue was $42.5 million during the first nine months of 2016 compared to $39.7 million during the first nine months of 2015.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3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 in full-time equivalent revenues was primarily attributable to the full period impact of our acquisition of Studer Group, and reflected an increase in the average number of full-time equivalents.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Huron Healthcare segment operating income decreased $2.9 million, or 2.4%, to $119.2 million for the nine months ended September 30, 2016, from $122.1 million for the nine months ended September 30, 2015. The Huron Healthcare segment operating margin decreased to 36.9% for the first nine months of 2016 from 37.2% in the same period last year. The decrease in this segment’s operating margin was primarily attributable to an increase in salaries and related expenses for our support personnel and revenue-generating professionals as a percentage of revenues and a $1.2 million restructuring charge recorded in the second quarter of 2016, partially offset by decreases in share-based compensation expense and performance bonus expense for our revenue-generating professionals as a percentage of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Huron Education and Life Sciences segment revenues increased $9.2 million, or 7.3%, to $134.1 million for the first nine months of 2016 from $124.9 million for the first nine months of 2015.</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2016, revenues from fixed-fee engagements, time-and-expense engagements, performance-based arrangements, and software support and maintenance and subscriptions arrangements represented 20.9%, 73.4%, 0.7%, and 5.0% of this segment’s revenues, respectively, compared to 33.3%, 61.7%, 0.4%, and 4.6% of this segment's revenues, respectively, during the same prior year period.</w:t>
      </w:r>
    </w:p>
    <w:p>
      <w:pPr>
        <w:spacing w:after="0" w:line="12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Of the overall $9.2 million increase in revenues, $10.3 million was attributable to our full-time billable consultants, partially offset by a $1.1 million decrease in revenue generated by our full-time equivalents. The increase in revenue from our full-time billable consultants reflected an increase in the average number of full-time billable consultants, partially offset by decreases in consultant utilization rate and average billing rate. The decrease in revenue from our full-time equivalents was largely driven by a decrease in license revenues, and reflected a decrease in revenue per full-time equivalent.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Huron Education and Life Sciences segment operating income was $35.4 million for both the nine months ended September 30, 2016 and September 30, 2015. The Huron Education and Life Sciences segment operating margin decreased to 26.4% for the first nine months of 2016 from 28.4% in the same period last year. The decrease in this segment’s operating margin was primarily attributable to</w:t>
      </w:r>
    </w:p>
    <w:p>
      <w:pPr>
        <w:sectPr>
          <w:pgSz w:w="11900" w:h="16838" w:orient="portrait"/>
          <w:cols w:equalWidth="0" w:num="1">
            <w:col w:w="11400"/>
          </w:cols>
          <w:pgMar w:left="240" w:top="121"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21" w:right="25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 increase in salaries and related expenses for our revenue-generating professionals as a percentage of revenues, which was largely the result of our ongoing cloud-based ERP investment, partially offset by decreases in contractor expense and project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Huron Business Advisory segment revenues increased $31.4 million, or 53.1%, to $90.6 million for the first nine months of 2016 from $59.2 million for the first nine months of 2015. Revenues for the first nine months of 2016 included $23.5 million from our acquisitions of Cloud62 and ADI Strategies, both of which were completed subsequent to the third quarter of 2015, and $0.5 million of incremental revenues due to the full period impact of our acquisition of Rittman Mead India, which we completed at the beginning of the third quarter of 2015.</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from fixed-fee engagements, time-and-expense engagements, performance-based arrangements, and software support and maintenance and subscriptions arrangements represented 11.4%, 80.5%, 6.8%, and 1.3% of this segment’s revenues, respectively, during the first nine months of 2016, compared to 15.2%, 77.8%, 6.6%, and 0.4% of this segment’s revenues, respectively, during the same prior year period. Performance-based fee revenue was $6.2 million for the first nine months of 2016, of which $5.3 million was generated by Huron Transaction Advisory LLC. Performance-based fee revenue was $3.9 million for the first nine months of 2015, of which $2.0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3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Of the overall $31.4 million increase in revenues, $28.2 million was attributable to our full-time billable consultants and $3.2 million was attributable to our full-time equivalents. The increase in revenue from our full-time billable consultants reflected an increase in the average number of full-time billable consultants, partially offset by decreases in the average billing rate and consultant utilization rate. The increase in the average number of full-time billable consultants was primarily the result of our acquisitions of ADI Strategies and Cloud62. The increase in revenue from our full-time equivalents reflected increases in both the average number of full-time equivalents and revenue per full-time equivalent.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Huron Business Advisory segment operating income increased by $5.8 million, or 43.1%, to $19.3 million for the nine months ended September 30, 2016, from $13.5 million for the nine months ended September 30, 2015. The Huron Business Advisory segment operating margin decreased to 21.4% for the first nine months of 2016 from 22.8% in the same period last year. The decrease in this segment’s operating margin was primarily attributable to increases in salaries and related expenses for our revenue-generating professionals, contractor expense, and intangible asset amortization expense, all as percentages of revenues. These decreases to operating margin were partially offset by decreases in share-based compensation expense for our revenue-generating professionals, performance bonus expense for our support personnel, and severance expense, as well as revenue growth that outpaced increases in salaries and related expenses for our support personnel and practice administration and meetings expenses. The overall decrease in this segment's operating margin reflects an increase in the Enterprise Performance Management and Analytics practice revenue as a percentage of this segment's total revenue, as the recent growth of this practice, which has lower operating margins, outpaced the growth of the legacy Financial Advisory practice.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Cash and cash equivalents decreased $49.3 million, from $58.4 million at December 31, 2015, to $9.1 million at September 30, 2016. As of September 30, 2016, our primary sources of liquidity are cash on hand, cash flows from our U.S. operations, and borrowing capacity available under our credit facility.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(in thousands):</w:t>
            </w: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83,237</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(368,502)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41,877</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(243,410)</w:t>
            </w:r>
          </w:p>
        </w:tc>
        <w:tc>
          <w:tcPr>
            <w:tcW w:w="0" w:type="dxa"/>
            <w:vAlign w:val="bottom"/>
          </w:tcPr>
          <w:p>
            <w:pPr>
              <w:spacing w:after="0"/>
              <w:rPr>
                <w:sz w:val="1"/>
                <w:szCs w:val="1"/>
                <w:color w:val="auto"/>
              </w:rPr>
            </w:pPr>
          </w:p>
        </w:tc>
      </w:tr>
      <w:tr>
        <w:trPr>
          <w:trHeight w:val="453"/>
        </w:trPr>
        <w:tc>
          <w:tcPr>
            <w:tcW w:w="4820" w:type="dxa"/>
            <w:vAlign w:val="bottom"/>
          </w:tcPr>
          <w:p>
            <w:pPr>
              <w:spacing w:after="0"/>
              <w:rPr>
                <w:sz w:val="24"/>
                <w:szCs w:val="24"/>
                <w:color w:val="auto"/>
              </w:rPr>
            </w:pPr>
          </w:p>
        </w:tc>
        <w:tc>
          <w:tcPr>
            <w:tcW w:w="38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totaled $78.8 million for the nine months ended September 30, 2016 and $83.2 million for the same period last year.</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decrease in cash provided by operations was primarily attributable to lower net income, a decrease in cash collections from clients, and an increase in accounts payable payments to vendors in the first nine months of 2016 compared to the same prior year period, largely offset by a decrease in the amount paid for annual performance bonuses during the first quarter of 2016 compared to the first quarter of 2015 and the collection of a settlement receivable in the first quarter of 2016.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$81.2 million for the nine months ended September 30, 2016 and $368.5 million for the same period last year.</w:t>
      </w:r>
    </w:p>
    <w:p>
      <w:pPr>
        <w:spacing w:after="0" w:line="17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use of cash in the first nine months of 2016 primarily consisted of $69.1 million for the purchases of businesses and $9.4 million for purchases of property and equipment.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use of cash in the first nine months of 2015 primarily consisted of $332.8 million for purchases of businesses, $15.0 million for purchases of property and equipment, and a $15.1 million investment in Shorelight in the form of zero coupon convertible debt instruments.</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estimate that we will use approximately $20.0 million of cash for purchases of property and equipment for full year 2016, primarily consisting of leasehold improvements and information technology-related equipment to support our corporate infrastructure.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$47.0 million for the nine months ended September 30, 2016. During the first nine months of 2016, we had net borrowings of $12.0 million under our credit facility, primarily to fund the acquisitions of HSM and ADI Strategies and our annual performance bonus payment, and we repurchased and retired $55.3 million of our common stock under our Share Repurchase Program, as defined below.</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$41.9 million for the nine months ended September 30, 2015. During the first nine months of 2015, we borrowed $272.0 million under our credit facility, including $102.0 million for the Studer Group acquisition, made repayments on our credit facility of $214.5 million, and repurchased and retired $13.5 million of our common stock under our Share Repurchase Program.</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of directors authorized a share repurchase program pursuant to which we may, from time to time, repurchase up to $125.0 million of our common stock through October 31, 2016 (the “Share Repurchase Program”). In October 2016, our board of directors authorized an extension of the Share Repurchase Program through October 31, 2017. The amount and timing of the repurchases will be determined by management and will depend on a variety of factors, including the trading price of our common stock, general market and business conditions, and applicable legal requirements. During the nine months ended September 30, 2016, we repurchased and retired 982,192 shares at an average cost of $56.27 per share. In 2015, we repurchased and retired 583,880 shares at an average cost of $59.24 per share. As of September 30, 2016, $35.1 million remains available for share repurchases.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September 30, 2016, we had $250.0 million principal amount of our 1.25% convertible senior notes outstanding and $104.0 million outstanding under our senior secured credit facility, as discussed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 Convertible Senior Notes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0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8 “Financing Arrangements” within the notes to our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 $500 million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September 30, 2016, we were in compliance with these financial covenants with a Consolidated Leverage Ratio of 2.08 to 1.00 and a Consolidated Interest Coverage Ratio of 20.89 to 1.00.</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from the closing date of the Amended Credit Agreement plus 50% of the net cash proceeds from equity issuances after the closing date of the Amended Credit Agreement.</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Borrowings outstanding under the Amended Credit Agreement at September 30, 2016 totaled $104.0 million. These borrowings carried a weighted average interest rate of 2.4%, including the effect of the interest rate swap described in Note 10 “Derivative Instruments and Hedging Activity” within the notes to the consolidated financial statements. Borrowings outstanding under the Amended Credit Agreement at December 31, 2015 were $92.0 million and carried a weighted average interest rate of 2.4%.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borrowing capacity under the revolving credit facility is reduced by any outstanding borrowings under the revolving credit facility and outstanding letters of credit. At September 30, 2016, we had outstanding letters of credit totaling $4.7 million, which are primarily used as security deposits for our office facilities. As of September 30, 2016, the unused borrowing capacity under the revolving credit facility was $391.3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Needs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2015. There have been no material changes to our contractual obligations since December 31, 2015.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2015. There have been no material changes to our critical accounting policies during the first nine months of 2016.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Refer to Note 3 “New Accounting Pronouncements” within the notes to the consolidated financial statements for information on new accounting pronouncements.</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and Interest Rate Risk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$221.9 million as of September 30, 2016, which represents the liability component of the $250.0 million principal balance. The estimated fair value of our Convertible Notes at September 30, 2016 was $252.3 million, and was determined based on the quoted bid price of the Convertible Notes in an over-the-counter market as of the last day of trading for the quarter ended September 30, 2016, which was $100.924 per $100 principal amount.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with the issuance of the Convertible Notes, we entered into separate convertible note hedge and warrant transactions. The convertible note hedge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intended to reduce the potential future economic dilution associated with the conversion of the Convertible Notes and, combined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effectively raise the price at which economic dilution would occur from the initial conversion price of approximately $79.89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$97.12 per share. Under the convertible note hedge transactions, we have the option to purchase a total of approximately 3.1 million shares of our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which is the number of shares initially issuable upon conversion of the Convertible Notes in full, at a price of approximately $79.89, which corresponds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initial conversion price of the Convertible Notes, subject to customary anti-dilution adjustments substantially similar to those in the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warrant transactions, the holders of the warrants have the option to purchase a total of approximately 3.1 million shares of our common stock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approximately $97.12. If the average market value per share of our common stock for the reporting period exceeds the strike price of the warrants,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will have a dilutive effect on our earnings per share.</w:t>
      </w:r>
    </w:p>
    <w:p>
      <w:pPr>
        <w:spacing w:after="0" w:line="15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exposure to changes in interest rates associated with borrowings under our bank credit facility, which has variable interest rates tied to LIBOR or an alternate base rate, at our option. At September 30, 2016, we had borrowings outstanding under the credit facility totaling $104.0 million that carried a weighted average interest rate of 2.4%, including the effect of the interest rate swap outstanding described below. A hypothetical 100 basis point change in this interest rate would have a $0.3 million effect on our pretax income including the effect of the interest rate swap described below. At December 31, 2015, our borrowings outstanding under the credit facility totaled $92.0 million and carried a weighted average interest rate of 2.4%, including the effect of the interest rate swaps described below; and were fully hedged against changes in interest rates by our interest rate swaps, which had a notional amount of $92.0 million at December 31, 2015.</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8, 2011, we entered into a forward amortizing interest rate swap agreement effective February 29, 2012, which ended April 14, 2016. We entered into this derivative instrument to hedge against the interest rate risks of our variable-rate borrowings described above. The swap had an initial notional amount of $56.6 million and amortized throughout the term. Under the terms of the interest rate swap agreement, we received from the counterparty interest on the notional amount based on one-month LIBOR and we paid to the counterparty a fixed rate of 0.9875%.</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30, 2012, we entered into an amortizing interest rate swap agreement effective May 31, 2012, which ended April 14, 2016. We entered into this derivative instrument to further hedge against the interest rate risks of our variable-rate borrowings. The swap had an initial notional amount of $37.0 million and amortized throughout the term. Under the terms of the interest rate swap agreement, we received from the counterparty interest on the notional amount based on one-month LIBOR and we paid to the counterparty a fixed rate of 0.70%.</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April 4, 2013, we entered into a forward amortizing interest rate swap agreement effective March 31, 2014 and ending August 31, 2017. We entered into this derivative instrument to further hedge against the interest rate risks of our variable-rate borrowings. The swap had an initial notional amount of $60.0 million and amortized quarterly until April 2016. Upon expiration of the two interest rate swaps in April 2016 described above,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Including the impact of the above swap agreement, the weighted average interest rate on $74.0 million of our variable-rate debt, which equals the notional amount of the swap agreement in effect at September 30, 2016, was 2.5%.</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September 30, 2016, the fair value of the investment was $32.9 million, with a total cost basis of $27.9 million.</w:t>
      </w:r>
    </w:p>
    <w:p>
      <w:pPr>
        <w:spacing w:after="0" w:line="280"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2016. Based on this evaluation, our Chief Executive Officer and Chief Financial Officer have concluded that, as of September 30, 2016, our disclosure controls and procedures were effective in recording, processing, summarizing and reporting, on a timely basis, information required to be disclosed by us in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reports we file or submit under the Exchange Act, and such information is accumulated and communicated to management as appropriate to allow timely decisions regarding required disclosure.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three months ended September 30, 2016 that has materially affected, or is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Note 14 "Commitments, Contingencies and Guarantees" included in Part I, Item 1 of this Form 10-Q.</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“Risk Factors” in our Annual Report on Form 10-K for the fiscal year ended December 31, 2015 for a complete description of the material risks we face.</w:t>
      </w: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240" w:top="121" w:right="3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Stock Ownership Participation Program, 2012 Omnibus Incentive Plan, and our 2004 Omnibus Stock Plan, which was replaced by the 2012 Omnibus Incentive Plan, permit the netting of common stock upon vesting of restricted stock awards to satisfy individual tax withholding requirements. During the quarter ended September 30, 2016, we reacquired 6,397 shares of common stock with a weighted average fair market value of $61.34 as a result of such tax withholdings.</w:t>
      </w:r>
    </w:p>
    <w:p>
      <w:pPr>
        <w:spacing w:after="0" w:line="7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Our board of directors authorized a share repurchase program pursuant to which we may, from time to time, repurchase up to $125 million of our common stock through October 31, 2016 (the “Share Repurchase Program”). During the fourth quarter of 2016, our board of directors authorized an extension of the Share Repurchase Program through October 31, 2017. The amount and timing of the repurchases will be determined by management and will depend on a variety of factors, including the trading price of our common stock, general market and business conditions, and applicable legal requirements.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common stock during the quarter ended September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Dollar Value of Shares</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w:t>
            </w:r>
          </w:p>
        </w:tc>
        <w:tc>
          <w:tcPr>
            <w:tcW w:w="12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65"/>
        </w:trPr>
        <w:tc>
          <w:tcPr>
            <w:tcW w:w="4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Purchased</w:t>
            </w:r>
            <w:r>
              <w:rPr>
                <w:rFonts w:ascii="Times New Roman" w:cs="Times New Roman" w:eastAsia="Times New Roman" w:hAnsi="Times New Roman"/>
                <w:sz w:val="21"/>
                <w:szCs w:val="21"/>
                <w:b w:val="1"/>
                <w:bCs w:val="1"/>
                <w:color w:val="auto"/>
                <w:w w:val="94"/>
                <w:vertAlign w:val="superscript"/>
              </w:rPr>
              <w:t>(1)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gridSpan w:val="2"/>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6"/>
              </w:rPr>
              <w:t>Plans or Programs</w:t>
            </w:r>
            <w:r>
              <w:rPr>
                <w:rFonts w:ascii="Times New Roman" w:cs="Times New Roman" w:eastAsia="Times New Roman" w:hAnsi="Times New Roman"/>
                <w:sz w:val="25"/>
                <w:szCs w:val="25"/>
                <w:b w:val="1"/>
                <w:bCs w:val="1"/>
                <w:color w:val="auto"/>
                <w:w w:val="96"/>
                <w:vertAlign w:val="superscript"/>
              </w:rPr>
              <w:t>(2)</w:t>
            </w: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2016 - July 31, 2016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35,143,546</w:t>
            </w:r>
          </w:p>
        </w:tc>
      </w:tr>
      <w:tr>
        <w:trPr>
          <w:trHeight w:val="243"/>
        </w:trPr>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2016 - August 31, 2016</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61.47</w:t>
            </w:r>
          </w:p>
        </w:tc>
        <w:tc>
          <w:tcPr>
            <w:tcW w:w="12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35,143,546</w:t>
            </w: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2016 - September 30, 2016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35,143,546</w:t>
            </w:r>
          </w:p>
        </w:tc>
      </w:tr>
      <w:tr>
        <w:trPr>
          <w:trHeight w:val="257"/>
        </w:trPr>
        <w:tc>
          <w:tcPr>
            <w:tcW w:w="4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6,397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61.34</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0" w:lineRule="exact"/>
        <w:rPr>
          <w:sz w:val="20"/>
          <w:szCs w:val="20"/>
          <w:color w:val="auto"/>
        </w:rPr>
      </w:pPr>
    </w:p>
    <w:p>
      <w:pPr>
        <w:ind w:left="980" w:right="440" w:hanging="972"/>
        <w:spacing w:after="0" w:line="28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this Quarterly Report on Form 10-Q.</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8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10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5"/>
        </w:trPr>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4"/>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Executive Officer, pursuant to Rule 13a-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Oxley Act of 2002.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Financial Officer, pursuant to Rule 13a-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Oxley Act of 2002.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Executive Officer, pursuant to 18 U.S.C.</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Sarbanes-Oxley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 of 2002.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Financial Officer, pursuant to 18 U.S.C. Section</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1350, as adopted pursuant to Section 906 of the Sarbanes-Oxley Act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Instance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101.PRE</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60"/>
          </w:cols>
          <w:pgMar w:left="240" w:top="121" w:right="29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1100" w:val="left"/>
          <w:tab w:leader="none" w:pos="8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 2016</w:t>
      </w:r>
      <w:r>
        <w:rPr>
          <w:sz w:val="20"/>
          <w:szCs w:val="20"/>
          <w:color w:val="auto"/>
        </w:rPr>
        <w:tab/>
      </w:r>
      <w:r>
        <w:rPr>
          <w:rFonts w:ascii="Times New Roman" w:cs="Times New Roman" w:eastAsia="Times New Roman" w:hAnsi="Times New Roman"/>
          <w:sz w:val="18"/>
          <w:szCs w:val="18"/>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34290</wp:posOffset>
            </wp:positionV>
            <wp:extent cx="1526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C. Mark Hussey</w:t>
      </w:r>
    </w:p>
    <w:p>
      <w:pPr>
        <w:spacing w:after="0" w:line="6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2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240" w:top="121" w:right="4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Huron Consulting Group Inc.;</w:t>
      </w:r>
    </w:p>
    <w:p>
      <w:pPr>
        <w:spacing w:after="0" w:line="63" w:lineRule="exact"/>
        <w:rPr>
          <w:rFonts w:ascii="Times New Roman" w:cs="Times New Roman" w:eastAsia="Times New Roman" w:hAnsi="Times New Roman"/>
          <w:sz w:val="18"/>
          <w:szCs w:val="18"/>
          <w:color w:val="auto"/>
        </w:rPr>
      </w:pPr>
    </w:p>
    <w:p>
      <w:pPr>
        <w:ind w:left="340" w:right="120" w:hanging="332"/>
        <w:spacing w:after="0" w:line="298" w:lineRule="auto"/>
        <w:tabs>
          <w:tab w:leader="none" w:pos="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8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340" w:right="500" w:hanging="332"/>
        <w:spacing w:after="0" w:line="28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H. R</w:t>
      </w:r>
      <w:r>
        <w:rPr>
          <w:rFonts w:ascii="Times New Roman" w:cs="Times New Roman" w:eastAsia="Times New Roman" w:hAnsi="Times New Roman"/>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34290</wp:posOffset>
            </wp:positionV>
            <wp:extent cx="1226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 Mark Hussey,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Huron Consulting Group Inc.;</w:t>
      </w:r>
    </w:p>
    <w:p>
      <w:pPr>
        <w:spacing w:after="0" w:line="63" w:lineRule="exact"/>
        <w:rPr>
          <w:rFonts w:ascii="Times New Roman" w:cs="Times New Roman" w:eastAsia="Times New Roman" w:hAnsi="Times New Roman"/>
          <w:sz w:val="18"/>
          <w:szCs w:val="18"/>
          <w:color w:val="auto"/>
        </w:rPr>
      </w:pPr>
    </w:p>
    <w:p>
      <w:pPr>
        <w:ind w:left="340" w:right="120" w:hanging="332"/>
        <w:spacing w:after="0" w:line="298" w:lineRule="auto"/>
        <w:tabs>
          <w:tab w:leader="none" w:pos="3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8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340" w:right="500" w:hanging="332"/>
        <w:spacing w:after="0" w:line="28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40"/>
        <w:spacing w:after="0"/>
        <w:tabs>
          <w:tab w:leader="none" w:pos="740" w:val="left"/>
          <w:tab w:leader="none" w:pos="7120" w:val="left"/>
          <w:tab w:leader="none" w:pos="8640" w:val="left"/>
          <w:tab w:leader="none" w:pos="8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C.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34290</wp:posOffset>
            </wp:positionV>
            <wp:extent cx="12261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C. Mark Hussey</w:t>
      </w:r>
    </w:p>
    <w:p>
      <w:pPr>
        <w:spacing w:after="0" w:line="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Chief Operating Officer and</w:t>
      </w:r>
    </w:p>
    <w:p>
      <w:pPr>
        <w:spacing w:after="0" w:line="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left="26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Huron Consulting Group Inc. (the “Company”) on Form 10-Q for the quarter ended September 30, 2016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22"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08"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H. R</w:t>
      </w:r>
      <w:r>
        <w:rPr>
          <w:rFonts w:ascii="Times New Roman" w:cs="Times New Roman" w:eastAsia="Times New Roman" w:hAnsi="Times New Roman"/>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34290</wp:posOffset>
            </wp:positionV>
            <wp:extent cx="12261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ind w:left="26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Huron Consulting Group Inc. (the “Company”) on Form 10-Q for the quarter ended September 30, 2016 as filed with the Securities and Exchange Commission on the date hereof (the “Report”), I, C. Mark Hussey, Executive Vice President, Chief Operating Officer and Chief Financial Officer of the Company, hereby certify, pursuant to 18 U.S.C. Section 1350, as adopted pursuant to Section 906 of the Sarbanes-Oxley Act of 2002, that:</w:t>
      </w:r>
    </w:p>
    <w:p>
      <w:pPr>
        <w:spacing w:after="0" w:line="126"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08" w:lineRule="exact"/>
        <w:rPr>
          <w:sz w:val="20"/>
          <w:szCs w:val="20"/>
          <w:color w:val="auto"/>
        </w:rPr>
      </w:pPr>
    </w:p>
    <w:p>
      <w:pPr>
        <w:ind w:left="40"/>
        <w:spacing w:after="0"/>
        <w:tabs>
          <w:tab w:leader="none" w:pos="740" w:val="left"/>
          <w:tab w:leader="none" w:pos="7120" w:val="left"/>
          <w:tab w:leader="none" w:pos="8640" w:val="left"/>
          <w:tab w:leader="none" w:pos="8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C.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34290</wp:posOffset>
            </wp:positionV>
            <wp:extent cx="12261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C. Mark Hussey</w:t>
      </w:r>
    </w:p>
    <w:p>
      <w:pPr>
        <w:spacing w:after="0" w:line="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Chief Operating Officer and</w:t>
      </w:r>
    </w:p>
    <w:p>
      <w:pPr>
        <w:spacing w:after="0" w:line="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0"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2019-12-29T09:55:20Z</dcterms:created>
  <dcterms:modified xsi:type="dcterms:W3CDTF">2019-12-29T09:55:20Z</dcterms:modified>
</cp:coreProperties>
</file>