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1023620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2520950</wp:posOffset>
            </wp:positionH>
            <wp:positionV relativeFrom="paragraph">
              <wp:posOffset>285115</wp:posOffset>
            </wp:positionV>
            <wp:extent cx="20745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Proxy Statement Pursuant to Section 14(a) of the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Exchange Act of 1934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520"/>
        <w:spacing w:after="0"/>
        <w:tabs>
          <w:tab w:leader="none" w:pos="6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2520950</wp:posOffset>
            </wp:positionH>
            <wp:positionV relativeFrom="paragraph">
              <wp:posOffset>182245</wp:posOffset>
            </wp:positionV>
            <wp:extent cx="207454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720"/>
            <w:col w:w="6019"/>
          </w:cols>
          <w:pgMar w:left="340" w:top="1440" w:right="1440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720"/>
            <w:col w:w="6019"/>
          </w:cols>
          <w:pgMar w:left="340" w:top="1440" w:right="1440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HURON CONSULTING GROUP INC.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00" w:hanging="494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00" w:hanging="494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4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334645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1066165</wp:posOffset>
            </wp:positionV>
            <wp:extent cx="5349240" cy="6917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911860</wp:posOffset>
            </wp:positionV>
            <wp:extent cx="5349240" cy="69176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2023-04-05T10:19:16Z</dcterms:created>
  <dcterms:modified xsi:type="dcterms:W3CDTF">2023-04-05T10:19:16Z</dcterms:modified>
</cp:coreProperties>
</file>