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156845</wp:posOffset>
            </wp:positionV>
            <wp:extent cx="934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178435</wp:posOffset>
            </wp:positionV>
            <wp:extent cx="934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172085</wp:posOffset>
            </wp:positionV>
            <wp:extent cx="934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152400</wp:posOffset>
            </wp:positionV>
            <wp:extent cx="934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77" w:lineRule="exact"/>
        <w:rPr>
          <w:sz w:val="24"/>
          <w:szCs w:val="24"/>
          <w:color w:val="auto"/>
        </w:rPr>
      </w:pPr>
    </w:p>
    <w:tbl>
      <w:tblPr>
        <w:tblLayout w:type="fixed"/>
        <w:tblInd w:w="2000" w:type="dxa"/>
        <w:tblCellMar>
          <w:top w:w="0" w:type="dxa"/>
          <w:left w:w="0" w:type="dxa"/>
          <w:bottom w:w="0" w:type="dxa"/>
          <w:right w:w="0" w:type="dxa"/>
        </w:tblCellMar>
      </w:tblPr>
      <w:tr>
        <w:trPr>
          <w:trHeight w:val="212"/>
        </w:trPr>
        <w:tc>
          <w:tcPr>
            <w:tcW w:w="1980" w:type="dxa"/>
            <w:vAlign w:val="bottom"/>
          </w:tcPr>
          <w:p>
            <w:pPr>
              <w:ind w:left="600"/>
              <w:spacing w:after="0"/>
              <w:rPr>
                <w:sz w:val="20"/>
                <w:szCs w:val="20"/>
                <w:color w:val="auto"/>
              </w:rPr>
            </w:pPr>
            <w:r>
              <w:rPr>
                <w:rFonts w:ascii="Arial" w:cs="Arial" w:eastAsia="Arial" w:hAnsi="Arial"/>
                <w:sz w:val="18"/>
                <w:szCs w:val="18"/>
                <w:b w:val="1"/>
                <w:bCs w:val="1"/>
                <w:color w:val="auto"/>
              </w:rPr>
              <w:t>Delaware</w:t>
            </w:r>
          </w:p>
        </w:tc>
        <w:tc>
          <w:tcPr>
            <w:tcW w:w="5200" w:type="dxa"/>
            <w:vAlign w:val="bottom"/>
          </w:tcPr>
          <w:p>
            <w:pPr>
              <w:jc w:val="center"/>
              <w:ind w:left="3699"/>
              <w:spacing w:after="0"/>
              <w:rPr>
                <w:sz w:val="20"/>
                <w:szCs w:val="20"/>
                <w:color w:val="auto"/>
              </w:rPr>
            </w:pPr>
            <w:r>
              <w:rPr>
                <w:rFonts w:ascii="Arial" w:cs="Arial" w:eastAsia="Arial" w:hAnsi="Arial"/>
                <w:sz w:val="18"/>
                <w:szCs w:val="18"/>
                <w:b w:val="1"/>
                <w:bCs w:val="1"/>
                <w:color w:val="auto"/>
                <w:w w:val="89"/>
              </w:rPr>
              <w:t>01-0666114</w:t>
            </w:r>
          </w:p>
        </w:tc>
      </w:tr>
      <w:tr>
        <w:trPr>
          <w:trHeight w:val="149"/>
        </w:trPr>
        <w:tc>
          <w:tcPr>
            <w:tcW w:w="1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0" w:type="dxa"/>
            <w:vAlign w:val="bottom"/>
          </w:tcPr>
          <w:p>
            <w:pPr>
              <w:jc w:val="center"/>
              <w:ind w:left="367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incorporation or organization)</w:t>
            </w:r>
          </w:p>
        </w:tc>
        <w:tc>
          <w:tcPr>
            <w:tcW w:w="5200" w:type="dxa"/>
            <w:vAlign w:val="bottom"/>
          </w:tcPr>
          <w:p>
            <w:pPr>
              <w:jc w:val="center"/>
              <w:ind w:left="3679"/>
              <w:spacing w:after="0"/>
              <w:rPr>
                <w:sz w:val="20"/>
                <w:szCs w:val="20"/>
                <w:color w:val="auto"/>
              </w:rPr>
            </w:pPr>
            <w:r>
              <w:rPr>
                <w:rFonts w:ascii="Arial" w:cs="Arial" w:eastAsia="Arial" w:hAnsi="Arial"/>
                <w:sz w:val="14"/>
                <w:szCs w:val="14"/>
                <w:b w:val="1"/>
                <w:bCs w:val="1"/>
                <w:color w:val="auto"/>
                <w:w w:val="96"/>
              </w:rPr>
              <w:t>Identification Number)</w:t>
            </w:r>
          </w:p>
        </w:tc>
      </w:tr>
      <w:tr>
        <w:trPr>
          <w:trHeight w:val="345"/>
        </w:trPr>
        <w:tc>
          <w:tcPr>
            <w:tcW w:w="1980" w:type="dxa"/>
            <w:vAlign w:val="bottom"/>
          </w:tcPr>
          <w:p>
            <w:pPr>
              <w:spacing w:after="0"/>
              <w:rPr>
                <w:sz w:val="24"/>
                <w:szCs w:val="24"/>
                <w:color w:val="auto"/>
              </w:rPr>
            </w:pPr>
          </w:p>
        </w:tc>
        <w:tc>
          <w:tcPr>
            <w:tcW w:w="5200" w:type="dxa"/>
            <w:vAlign w:val="bottom"/>
          </w:tcPr>
          <w:p>
            <w:pPr>
              <w:jc w:val="center"/>
              <w:ind w:right="165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1980" w:type="dxa"/>
            <w:vAlign w:val="bottom"/>
          </w:tcPr>
          <w:p>
            <w:pPr>
              <w:spacing w:after="0"/>
              <w:rPr>
                <w:sz w:val="18"/>
                <w:szCs w:val="18"/>
                <w:color w:val="auto"/>
              </w:rPr>
            </w:pPr>
          </w:p>
        </w:tc>
        <w:tc>
          <w:tcPr>
            <w:tcW w:w="5200" w:type="dxa"/>
            <w:vAlign w:val="bottom"/>
          </w:tcPr>
          <w:p>
            <w:pPr>
              <w:jc w:val="center"/>
              <w:ind w:right="165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1980" w:type="dxa"/>
            <w:vAlign w:val="bottom"/>
          </w:tcPr>
          <w:p>
            <w:pPr>
              <w:spacing w:after="0"/>
              <w:rPr>
                <w:sz w:val="18"/>
                <w:szCs w:val="18"/>
                <w:color w:val="auto"/>
              </w:rPr>
            </w:pPr>
          </w:p>
        </w:tc>
        <w:tc>
          <w:tcPr>
            <w:tcW w:w="5200" w:type="dxa"/>
            <w:vAlign w:val="bottom"/>
          </w:tcPr>
          <w:p>
            <w:pPr>
              <w:jc w:val="right"/>
              <w:ind w:right="3159"/>
              <w:spacing w:after="0"/>
              <w:rPr>
                <w:sz w:val="20"/>
                <w:szCs w:val="20"/>
                <w:color w:val="auto"/>
              </w:rPr>
            </w:pPr>
            <w:r>
              <w:rPr>
                <w:rFonts w:ascii="Arial" w:cs="Arial" w:eastAsia="Arial" w:hAnsi="Arial"/>
                <w:sz w:val="18"/>
                <w:szCs w:val="18"/>
                <w:b w:val="1"/>
                <w:bCs w:val="1"/>
                <w:color w:val="auto"/>
              </w:rPr>
              <w:t>60607</w:t>
            </w:r>
          </w:p>
        </w:tc>
      </w:tr>
      <w:tr>
        <w:trPr>
          <w:trHeight w:val="149"/>
        </w:trPr>
        <w:tc>
          <w:tcPr>
            <w:tcW w:w="1980" w:type="dxa"/>
            <w:vAlign w:val="bottom"/>
          </w:tcPr>
          <w:p>
            <w:pPr>
              <w:spacing w:after="0"/>
              <w:rPr>
                <w:sz w:val="12"/>
                <w:szCs w:val="12"/>
                <w:color w:val="auto"/>
              </w:rPr>
            </w:pPr>
          </w:p>
        </w:tc>
        <w:tc>
          <w:tcPr>
            <w:tcW w:w="5200" w:type="dxa"/>
            <w:vAlign w:val="bottom"/>
          </w:tcPr>
          <w:p>
            <w:pPr>
              <w:jc w:val="center"/>
              <w:ind w:right="1659"/>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1980" w:type="dxa"/>
            <w:vAlign w:val="bottom"/>
          </w:tcPr>
          <w:p>
            <w:pPr>
              <w:spacing w:after="0"/>
              <w:rPr>
                <w:sz w:val="16"/>
                <w:szCs w:val="16"/>
                <w:color w:val="auto"/>
              </w:rPr>
            </w:pPr>
          </w:p>
        </w:tc>
        <w:tc>
          <w:tcPr>
            <w:tcW w:w="5200" w:type="dxa"/>
            <w:vAlign w:val="bottom"/>
          </w:tcPr>
          <w:p>
            <w:pPr>
              <w:jc w:val="center"/>
              <w:ind w:right="1659"/>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1980" w:type="dxa"/>
            <w:vAlign w:val="bottom"/>
          </w:tcPr>
          <w:p>
            <w:pPr>
              <w:spacing w:after="0"/>
              <w:rPr>
                <w:sz w:val="24"/>
                <w:szCs w:val="24"/>
                <w:color w:val="auto"/>
              </w:rPr>
            </w:pPr>
          </w:p>
        </w:tc>
        <w:tc>
          <w:tcPr>
            <w:tcW w:w="5200" w:type="dxa"/>
            <w:vAlign w:val="bottom"/>
          </w:tcPr>
          <w:p>
            <w:pPr>
              <w:jc w:val="right"/>
              <w:ind w:right="281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1980" w:type="dxa"/>
            <w:vAlign w:val="bottom"/>
          </w:tcPr>
          <w:p>
            <w:pPr>
              <w:spacing w:after="0"/>
              <w:rPr>
                <w:sz w:val="16"/>
                <w:szCs w:val="16"/>
                <w:color w:val="auto"/>
              </w:rPr>
            </w:pPr>
          </w:p>
        </w:tc>
        <w:tc>
          <w:tcPr>
            <w:tcW w:w="5200" w:type="dxa"/>
            <w:vAlign w:val="bottom"/>
          </w:tcPr>
          <w:p>
            <w:pPr>
              <w:jc w:val="center"/>
              <w:ind w:right="165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144780</wp:posOffset>
            </wp:positionV>
            <wp:extent cx="934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7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Large accelerated filer</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3">
            <w:col w:w="8020" w:space="720"/>
            <w:col w:w="1780" w:space="720"/>
            <w:col w:w="18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84" w:lineRule="exact"/>
        <w:rPr>
          <w:sz w:val="24"/>
          <w:szCs w:val="24"/>
          <w:color w:val="auto"/>
        </w:rPr>
      </w:pPr>
    </w:p>
    <w:p>
      <w:pPr>
        <w:sectPr>
          <w:pgSz w:w="11900" w:h="16838" w:orient="portrait"/>
          <w:cols w:equalWidth="0" w:num="4">
            <w:col w:w="1540" w:space="80"/>
            <w:col w:w="6400" w:space="720"/>
            <w:col w:w="1960" w:space="540"/>
            <w:col w:w="18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180" w:space="160"/>
            <w:col w:w="280" w:space="80"/>
            <w:col w:w="160" w:space="180"/>
            <w:col w:w="2380"/>
          </w:cols>
          <w:pgMar w:left="240" w:top="230" w:right="2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30, 2013, 23,243,551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60" w:type="dxa"/>
            <w:vAlign w:val="bottom"/>
            <w:gridSpan w:val="9"/>
          </w:tcPr>
          <w:p>
            <w:pPr>
              <w:jc w:val="center"/>
              <w:ind w:right="3500"/>
              <w:spacing w:after="0"/>
              <w:rPr>
                <w:sz w:val="20"/>
                <w:szCs w:val="20"/>
                <w:color w:val="auto"/>
              </w:rPr>
            </w:pPr>
            <w:r>
              <w:rPr>
                <w:rFonts w:ascii="Arial" w:cs="Arial" w:eastAsia="Arial" w:hAnsi="Arial"/>
                <w:sz w:val="18"/>
                <w:szCs w:val="18"/>
                <w:b w:val="1"/>
                <w:bCs w:val="1"/>
                <w:color w:val="auto"/>
                <w:w w:val="99"/>
              </w:rPr>
              <w:t>HURON CONSULTING GROUP INC.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gridSpan w:val="5"/>
          </w:tcPr>
          <w:p>
            <w:pPr>
              <w:jc w:val="center"/>
              <w:ind w:right="484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04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56"/>
        </w:trPr>
        <w:tc>
          <w:tcPr>
            <w:tcW w:w="11040" w:type="dxa"/>
            <w:vAlign w:val="bottom"/>
            <w:gridSpan w:val="20"/>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Financial Statements (Unaudited)</w:t>
              </w:r>
            </w:hyperlink>
          </w:p>
        </w:tc>
        <w:tc>
          <w:tcPr>
            <w:tcW w:w="606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720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w:t>
              </w:r>
            </w:hyperlink>
          </w:p>
        </w:tc>
        <w:tc>
          <w:tcPr>
            <w:tcW w:w="4120" w:type="dxa"/>
            <w:vAlign w:val="bottom"/>
            <w:gridSpan w:val="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3"/>
          </w:tcPr>
          <w:p>
            <w:pPr>
              <w:spacing w:after="0"/>
              <w:rPr>
                <w:sz w:val="17"/>
                <w:szCs w:val="17"/>
                <w:color w:val="auto"/>
              </w:rPr>
            </w:pPr>
          </w:p>
        </w:tc>
        <w:tc>
          <w:tcPr>
            <w:tcW w:w="5820" w:type="dxa"/>
            <w:vAlign w:val="bottom"/>
            <w:gridSpan w:val="5"/>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6140" w:type="dxa"/>
            <w:vAlign w:val="bottom"/>
            <w:gridSpan w:val="7"/>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30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24"/>
                <w:szCs w:val="24"/>
                <w:color w:val="auto"/>
              </w:rPr>
            </w:pPr>
          </w:p>
        </w:tc>
        <w:tc>
          <w:tcPr>
            <w:tcW w:w="5120" w:type="dxa"/>
            <w:vAlign w:val="bottom"/>
            <w:gridSpan w:val="3"/>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4"/>
          </w:tcPr>
          <w:p>
            <w:pPr>
              <w:spacing w:after="0"/>
              <w:rPr>
                <w:rFonts w:ascii="Arial" w:cs="Arial" w:eastAsia="Arial" w:hAnsi="Arial"/>
                <w:sz w:val="18"/>
                <w:szCs w:val="18"/>
                <w:b w:val="1"/>
                <w:bCs w:val="1"/>
                <w:color w:val="0000EE"/>
                <w:w w:val="96"/>
              </w:rPr>
            </w:pPr>
            <w:hyperlink w:anchor="page43">
              <w:r>
                <w:rPr>
                  <w:rFonts w:ascii="Arial" w:cs="Arial" w:eastAsia="Arial" w:hAnsi="Arial"/>
                  <w:sz w:val="18"/>
                  <w:szCs w:val="18"/>
                  <w:b w:val="1"/>
                  <w:bCs w:val="1"/>
                  <w:color w:val="0000EE"/>
                  <w:w w:val="96"/>
                </w:rPr>
                <w:t>Part II – Other Information</w:t>
              </w:r>
            </w:hyperlink>
          </w:p>
        </w:tc>
        <w:tc>
          <w:tcPr>
            <w:tcW w:w="888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140" w:type="dxa"/>
            <w:vAlign w:val="bottom"/>
            <w:gridSpan w:val="12"/>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48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Defaults Upon Senior Securities</w:t>
              </w:r>
            </w:hyperlink>
          </w:p>
        </w:tc>
        <w:tc>
          <w:tcPr>
            <w:tcW w:w="5140" w:type="dxa"/>
            <w:vAlign w:val="bottom"/>
            <w:gridSpan w:val="4"/>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160" w:type="dxa"/>
            <w:vAlign w:val="bottom"/>
            <w:gridSpan w:val="9"/>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Other Information</w:t>
              </w:r>
            </w:hyperlink>
          </w:p>
        </w:tc>
        <w:tc>
          <w:tcPr>
            <w:tcW w:w="8160" w:type="dxa"/>
            <w:vAlign w:val="bottom"/>
            <w:gridSpan w:val="13"/>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12"/>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48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46">
              <w:r>
                <w:rPr>
                  <w:rFonts w:ascii="Arial" w:cs="Arial" w:eastAsia="Arial" w:hAnsi="Arial"/>
                  <w:sz w:val="18"/>
                  <w:szCs w:val="18"/>
                  <w:b w:val="1"/>
                  <w:bCs w:val="1"/>
                  <w:color w:val="0000EE"/>
                  <w:w w:val="89"/>
                </w:rPr>
                <w:t>Signature</w:t>
              </w:r>
            </w:hyperlink>
          </w:p>
        </w:tc>
        <w:tc>
          <w:tcPr>
            <w:tcW w:w="8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30,781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from clients, net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82,007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Unbilled services, net</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82,381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13,290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21,877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233,101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16,614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519,514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820,012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1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8,620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61,956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borrowings, current portion</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consideration for business acquisitions, current portion</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13,114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130,461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compensation and other liabilities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Bank borrowings, net of current portion</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lease incentives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20,613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consideration for business acquisitions, net of current portion</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28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185,668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8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500,000,000 shares authorized; 25,224,317 and 24,793,327 shares issued at</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2013 and December 31, 2012, respectively</w:t>
            </w: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6"/>
              </w:rPr>
              <w:t>Treasury stock, at cost, 1,980,776 and 1,880,809 shares at September 30, 2013 and December 31, 2012,</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(87,338)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438,135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153,643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503,883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820,012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8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6480" w:type="dxa"/>
            <w:vAlign w:val="bottom"/>
            <w:gridSpan w:val="3"/>
          </w:tcPr>
          <w:p>
            <w:pPr>
              <w:jc w:val="center"/>
              <w:ind w:left="2130"/>
              <w:spacing w:after="0"/>
              <w:rPr>
                <w:sz w:val="20"/>
                <w:szCs w:val="20"/>
                <w:color w:val="auto"/>
              </w:rPr>
            </w:pPr>
            <w:r>
              <w:rPr>
                <w:rFonts w:ascii="Arial" w:cs="Arial" w:eastAsia="Arial" w:hAnsi="Arial"/>
                <w:sz w:val="18"/>
                <w:szCs w:val="18"/>
                <w:b w:val="1"/>
                <w:bCs w:val="1"/>
                <w:color w:val="auto"/>
                <w:w w:val="99"/>
              </w:rPr>
              <w:t>HURON CONSULTING GROUP INC.</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0" w:type="dxa"/>
            <w:vAlign w:val="bottom"/>
            <w:gridSpan w:val="9"/>
          </w:tcPr>
          <w:p>
            <w:pPr>
              <w:jc w:val="center"/>
              <w:ind w:right="10"/>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80" w:type="dxa"/>
            <w:vAlign w:val="bottom"/>
            <w:gridSpan w:val="3"/>
          </w:tcPr>
          <w:p>
            <w:pPr>
              <w:jc w:val="center"/>
              <w:ind w:left="21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520" w:type="dxa"/>
            <w:vAlign w:val="bottom"/>
          </w:tcPr>
          <w:p>
            <w:pPr>
              <w:jc w:val="center"/>
              <w:ind w:left="309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2012</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174,735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161,888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509,178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445,196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192,277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175,358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560,179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487,016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 xml:space="preserve">Direct costs and reimbursable expenses </w:t>
            </w:r>
            <w:r>
              <w:rPr>
                <w:rFonts w:ascii="Arial" w:cs="Arial" w:eastAsia="Arial" w:hAnsi="Arial"/>
                <w:sz w:val="18"/>
                <w:szCs w:val="18"/>
                <w:color w:val="auto"/>
                <w:w w:val="91"/>
              </w:rPr>
              <w:t>(exclusive of depreciation and amortization shown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 operating expenses):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106,087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315,084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277,942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 and software development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direct costs and reimbursable expenses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124,293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103,475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368,091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 and other operating gains: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Litigation settlement (gain) loss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Goodwill impairment charge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 and other operating gains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109,077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83,011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Net earnings per basic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8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6880" w:type="dxa"/>
            <w:vAlign w:val="bottom"/>
            <w:gridSpan w:val="3"/>
          </w:tcPr>
          <w:p>
            <w:pPr>
              <w:spacing w:after="0"/>
              <w:rPr>
                <w:sz w:val="20"/>
                <w:szCs w:val="20"/>
                <w:color w:val="auto"/>
              </w:rPr>
            </w:pPr>
            <w:r>
              <w:rPr>
                <w:rFonts w:ascii="Arial" w:cs="Arial" w:eastAsia="Arial" w:hAnsi="Arial"/>
                <w:sz w:val="18"/>
                <w:szCs w:val="18"/>
                <w:color w:val="auto"/>
              </w:rPr>
              <w:t>Net earnings per diluted share:</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6880" w:type="dxa"/>
            <w:vAlign w:val="bottom"/>
            <w:gridSpan w:val="3"/>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22,873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10,463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44,313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 net of tax</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Unrealized gain (loss) on cash flow hedging instruments, net of tax</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44,871</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6"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HURON CONSULTING GROUP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amounts)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360" w:type="dxa"/>
            <w:vAlign w:val="bottom"/>
          </w:tcPr>
          <w:p>
            <w:pPr>
              <w:spacing w:after="0"/>
              <w:rPr>
                <w:sz w:val="14"/>
                <w:szCs w:val="14"/>
                <w:color w:val="auto"/>
              </w:rPr>
            </w:pPr>
          </w:p>
        </w:tc>
        <w:tc>
          <w:tcPr>
            <w:tcW w:w="164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Retained</w:t>
            </w: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 Other</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w w:val="93"/>
              </w:rPr>
              <w:t>Comprehensive</w:t>
            </w: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Income (Loss)</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2012</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23,904,125</w:t>
            </w:r>
          </w:p>
        </w:tc>
        <w:tc>
          <w:tcPr>
            <w:tcW w:w="34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240</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(1,889,465)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(83,715)</w:t>
            </w:r>
          </w:p>
        </w:tc>
        <w:tc>
          <w:tcPr>
            <w:tcW w:w="1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420,825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109,330</w:t>
            </w:r>
          </w:p>
        </w:tc>
        <w:tc>
          <w:tcPr>
            <w:tcW w:w="18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(1,359)</w:t>
            </w:r>
          </w:p>
        </w:tc>
        <w:tc>
          <w:tcPr>
            <w:tcW w:w="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445,321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44,313</w:t>
            </w:r>
          </w:p>
        </w:tc>
        <w:tc>
          <w:tcPr>
            <w:tcW w:w="180" w:type="dxa"/>
            <w:vAlign w:val="bottom"/>
          </w:tcPr>
          <w:p>
            <w:pPr>
              <w:spacing w:after="0"/>
              <w:rPr>
                <w:sz w:val="12"/>
                <w:szCs w:val="12"/>
                <w:color w:val="auto"/>
              </w:rPr>
            </w:pPr>
          </w:p>
        </w:tc>
        <w:tc>
          <w:tcPr>
            <w:tcW w:w="12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558</w:t>
            </w:r>
          </w:p>
        </w:tc>
        <w:tc>
          <w:tcPr>
            <w:tcW w:w="20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44,871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447,988</w:t>
            </w:r>
          </w:p>
        </w:tc>
        <w:tc>
          <w:tcPr>
            <w:tcW w:w="340" w:type="dxa"/>
            <w:vAlign w:val="bottom"/>
          </w:tcPr>
          <w:p>
            <w:pPr>
              <w:spacing w:after="0"/>
              <w:rPr>
                <w:sz w:val="12"/>
                <w:szCs w:val="12"/>
                <w:color w:val="auto"/>
              </w:rPr>
            </w:pPr>
          </w:p>
        </w:tc>
        <w:tc>
          <w:tcPr>
            <w:tcW w:w="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(80,569)</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(2,863)</w:t>
            </w:r>
          </w:p>
        </w:tc>
        <w:tc>
          <w:tcPr>
            <w:tcW w:w="16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2,859</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26,294</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13,280</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13,280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(20,426)</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Income tax benefit on share-based compensation</w:t>
            </w: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1,132</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1,132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2013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24,378,407</w:t>
            </w:r>
          </w:p>
        </w:tc>
        <w:tc>
          <w:tcPr>
            <w:tcW w:w="3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(1,990,460)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(87,338)</w:t>
            </w:r>
          </w:p>
        </w:tc>
        <w:tc>
          <w:tcPr>
            <w:tcW w:w="1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438,135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153,643</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(801)</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503,883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4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tcBorders>
              <w:bottom w:val="single" w:sz="8" w:color="auto"/>
            </w:tcBorders>
            <w:vMerge w:val="continue"/>
            <w:shd w:val="clear" w:color="auto" w:fill="CCEEFF"/>
          </w:tcPr>
          <w:p>
            <w:pPr>
              <w:spacing w:after="0"/>
              <w:rPr>
                <w:sz w:val="10"/>
                <w:szCs w:val="10"/>
                <w:color w:val="auto"/>
              </w:rPr>
            </w:pPr>
          </w:p>
        </w:tc>
        <w:tc>
          <w:tcPr>
            <w:tcW w:w="340" w:type="dxa"/>
            <w:vAlign w:val="bottom"/>
            <w:tcBorders>
              <w:bottom w:val="single" w:sz="8" w:color="auto"/>
            </w:tcBorders>
            <w:vMerge w:val="continue"/>
            <w:shd w:val="clear" w:color="auto" w:fill="CCEEFF"/>
          </w:tcPr>
          <w:p>
            <w:pPr>
              <w:spacing w:after="0"/>
              <w:rPr>
                <w:sz w:val="10"/>
                <w:szCs w:val="10"/>
                <w:color w:val="auto"/>
              </w:rPr>
            </w:pPr>
          </w:p>
        </w:tc>
        <w:tc>
          <w:tcPr>
            <w:tcW w:w="360" w:type="dxa"/>
            <w:vAlign w:val="bottom"/>
            <w:tcBorders>
              <w:bottom w:val="single" w:sz="8" w:color="auto"/>
            </w:tcBorders>
            <w:vMerge w:val="continue"/>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680" w:type="dxa"/>
            <w:vAlign w:val="bottom"/>
            <w:tcBorders>
              <w:bottom w:val="single" w:sz="8" w:color="auto"/>
            </w:tcBorders>
            <w:vMerge w:val="continue"/>
            <w:shd w:val="clear" w:color="auto" w:fill="CCEEFF"/>
          </w:tcPr>
          <w:p>
            <w:pPr>
              <w:spacing w:after="0"/>
              <w:rPr>
                <w:sz w:val="10"/>
                <w:szCs w:val="10"/>
                <w:color w:val="auto"/>
              </w:rPr>
            </w:pPr>
          </w:p>
        </w:tc>
        <w:tc>
          <w:tcPr>
            <w:tcW w:w="160" w:type="dxa"/>
            <w:vAlign w:val="bottom"/>
            <w:tcBorders>
              <w:bottom w:val="single" w:sz="8" w:color="auto"/>
            </w:tcBorders>
            <w:vMerge w:val="continue"/>
            <w:shd w:val="clear" w:color="auto" w:fill="CCEEFF"/>
          </w:tcPr>
          <w:p>
            <w:pPr>
              <w:spacing w:after="0"/>
              <w:rPr>
                <w:sz w:val="10"/>
                <w:szCs w:val="10"/>
                <w:color w:val="auto"/>
              </w:rPr>
            </w:pPr>
          </w:p>
        </w:tc>
        <w:tc>
          <w:tcPr>
            <w:tcW w:w="660" w:type="dxa"/>
            <w:vAlign w:val="bottom"/>
            <w:tcBorders>
              <w:bottom w:val="single" w:sz="8" w:color="auto"/>
            </w:tcBorders>
            <w:vMerge w:val="continue"/>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180" w:type="dxa"/>
            <w:vAlign w:val="bottom"/>
            <w:tcBorders>
              <w:bottom w:val="single" w:sz="8" w:color="auto"/>
            </w:tcBorders>
            <w:vMerge w:val="continue"/>
            <w:shd w:val="clear" w:color="auto" w:fill="CCEEFF"/>
          </w:tcPr>
          <w:p>
            <w:pPr>
              <w:spacing w:after="0"/>
              <w:rPr>
                <w:sz w:val="10"/>
                <w:szCs w:val="10"/>
                <w:color w:val="auto"/>
              </w:rPr>
            </w:pPr>
          </w:p>
        </w:tc>
        <w:tc>
          <w:tcPr>
            <w:tcW w:w="1240" w:type="dxa"/>
            <w:vAlign w:val="bottom"/>
            <w:tcBorders>
              <w:bottom w:val="single" w:sz="8" w:color="auto"/>
            </w:tcBorders>
            <w:vMerge w:val="continue"/>
            <w:shd w:val="clear" w:color="auto" w:fill="CCEEFF"/>
          </w:tcPr>
          <w:p>
            <w:pPr>
              <w:spacing w:after="0"/>
              <w:rPr>
                <w:sz w:val="10"/>
                <w:szCs w:val="10"/>
                <w:color w:val="auto"/>
              </w:rPr>
            </w:pPr>
          </w:p>
        </w:tc>
        <w:tc>
          <w:tcPr>
            <w:tcW w:w="200" w:type="dxa"/>
            <w:vAlign w:val="bottom"/>
            <w:tcBorders>
              <w:bottom w:val="single" w:sz="8" w:color="auto"/>
            </w:tcBorders>
            <w:vMerge w:val="continue"/>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3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HURON CONSULTING GROUP INC.</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320" w:type="dxa"/>
            <w:vAlign w:val="bottom"/>
          </w:tcPr>
          <w:p>
            <w:pPr>
              <w:jc w:val="center"/>
              <w:ind w:left="12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320" w:type="dxa"/>
            <w:vAlign w:val="bottom"/>
          </w:tcPr>
          <w:p>
            <w:pPr>
              <w:jc w:val="center"/>
              <w:ind w:left="131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320" w:type="dxa"/>
            <w:vAlign w:val="bottom"/>
          </w:tcPr>
          <w:p>
            <w:pPr>
              <w:jc w:val="center"/>
              <w:ind w:left="12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44,313</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(Increase) decrease in receivables from clients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decrease in unbilled services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(Increase) decrease in current income tax receivable / payable, net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decrease in other assets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Increase (decrease) in accounts payable and accrued liabilities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(decrease) in accrued payroll and related benefits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Increase (decrease) in deferred revenues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 net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Net investment in life insurance policies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businesses, net of cash acquired</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Capitalization of internally developed software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 receivable</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34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redeemed for employee tax withholdings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Tax benefit from share-based compensation</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borrowings under credit facility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Repayments on credit facility</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debt issue costs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Payments of capital lease obligations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acquisition payment</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34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8680" w:type="dxa"/>
            <w:vAlign w:val="bottom"/>
            <w:gridSpan w:val="3"/>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Cash and cash equivalents at end of the period</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Non-cash financing activities: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payments related to business acquisitions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6"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Huron Consulting Group is a leading provider of operational and financial consulting services. We help clients in diverse industries improve performance, reduce costs, leverage technology, process and review large amounts of complex data, address regulatory changes, recover from distress and stimulate growth. Our professionals employ their expertise in administration, management,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296"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nine months ended September 30, 2013 and 2012.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the Consolidated Financial Statements and notes thereto for the year ended December 31, 2012 included in our Annual Report on Form 10-K and our Quarterly Reports on Form 10-Q for the periods ended March 31, 2013 and June 30, 2013.</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reported in the previous year have been reclassified to conform to the 2013 presentation. Our results for any interim period are not necessarily indicative of results for a full year or any other interim period.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second quarter of 2013, we identified a $1.1 million error in stock-based compensation expense resulting from the use of the straight-line attribution method for performance awards with graded vesting features granted in prior periods. The $1.1 million pretax adjustment, which resulted in a $0.9 million increase in Direct costs and a $0.2 million increase in Selling, general and administrative expense, with a corresponding $1.1 million increase in Additional paid-in capital, represents the cumulative error related to all prior period financial statements beginning with the first quarter of 2010 through the first quarter of 2013. After consideration of both quantitative and qualitative factors, we concluded that our previously issued annual and quarterly financial statements for the years 2010, 2011, 2012 and the first quarter of 2013 were not materially misstated, and the effect of recognizing this adjustment during the second quarter of 2013 was not material for the period then ended and is not expected to be material for full year 2013 results.</w:t>
      </w:r>
    </w:p>
    <w:p>
      <w:pPr>
        <w:spacing w:after="0" w:line="28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Financial Accounting Standards Board (“FASB”) issued Accounting Standards Update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This guidance will be effective for the Company beginning in the first quarter of 2014. We do not expect the adoption of ASU 2013-11 to impact our consolidated financial statements.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of ASU 2013-05 to have a material impact on our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212"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we have undertaken several separate initiatives to divest certain practices within the Huron Financial segment in order to enable us to devote more of our energy and financial resources to the remaining businesses of the Company where we have a more substantial market presence. Most recently, on December 30, 2011, we sold the Accounting Advisory (“AA”) practice to a group of investors including the managing director of the practice at the time and recognized a loss of $1.9 million in connection with the sale.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operating results of AA are reported as “discontinued operations.” All other operations of the business are considered “continuing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Summarized operating results of discontinued operations are presented in the following table: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2"/>
              </w:rPr>
              <w:t>Three Months Ended</w:t>
            </w:r>
          </w:p>
        </w:tc>
        <w:tc>
          <w:tcPr>
            <w:tcW w:w="1880" w:type="dxa"/>
            <w:vAlign w:val="bottom"/>
            <w:gridSpan w:val="6"/>
          </w:tcPr>
          <w:p>
            <w:pPr>
              <w:ind w:left="20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5"/>
          </w:tcPr>
          <w:p>
            <w:pPr>
              <w:ind w:left="2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540" w:type="dxa"/>
            <w:vAlign w:val="bottom"/>
            <w:gridSpan w:val="5"/>
          </w:tcPr>
          <w:p>
            <w:pPr>
              <w:ind w:left="60"/>
              <w:spacing w:after="0"/>
              <w:rPr>
                <w:sz w:val="20"/>
                <w:szCs w:val="20"/>
                <w:color w:val="auto"/>
              </w:rPr>
            </w:pPr>
            <w:r>
              <w:rPr>
                <w:rFonts w:ascii="Arial" w:cs="Arial" w:eastAsia="Arial" w:hAnsi="Arial"/>
                <w:sz w:val="16"/>
                <w:szCs w:val="16"/>
                <w:b w:val="1"/>
                <w:bCs w:val="1"/>
                <w:color w:val="auto"/>
              </w:rPr>
              <w:t>September 30,</w:t>
            </w:r>
          </w:p>
        </w:tc>
      </w:tr>
      <w:tr>
        <w:trPr>
          <w:trHeight w:val="199"/>
        </w:trPr>
        <w:tc>
          <w:tcPr>
            <w:tcW w:w="75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2012</w:t>
            </w:r>
          </w:p>
        </w:tc>
        <w:tc>
          <w:tcPr>
            <w:tcW w:w="1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4"/>
              </w:rPr>
              <w:t>2012</w:t>
            </w:r>
          </w:p>
        </w:tc>
        <w:tc>
          <w:tcPr>
            <w:tcW w:w="80" w:type="dxa"/>
            <w:vAlign w:val="bottom"/>
            <w:tcBorders>
              <w:bottom w:val="single" w:sz="8" w:color="CCEEFF"/>
            </w:tcBorders>
          </w:tcPr>
          <w:p>
            <w:pPr>
              <w:spacing w:after="0"/>
              <w:rPr>
                <w:sz w:val="17"/>
                <w:szCs w:val="17"/>
                <w:color w:val="auto"/>
              </w:rPr>
            </w:pPr>
          </w:p>
        </w:tc>
      </w:tr>
      <w:tr>
        <w:trPr>
          <w:trHeight w:val="237"/>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80" w:type="dxa"/>
            <w:vAlign w:val="bottom"/>
            <w:shd w:val="clear" w:color="auto" w:fill="CCEEFF"/>
          </w:tcPr>
          <w:p>
            <w:pPr>
              <w:spacing w:after="0"/>
              <w:rPr>
                <w:sz w:val="20"/>
                <w:szCs w:val="20"/>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Income (loss) from discontinued operations before income tax expense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7"/>
                <w:szCs w:val="17"/>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from 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significant assets or liabilities related to discontinued operations in the Consolidated Balance Sheets as of September 30, 2013 or December 31, 2012.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segment for the nine months ended September 30, 2013.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Current Segments</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7"/>
              </w:rPr>
              <w:t>Huron</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Education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Former Segments</w:t>
            </w:r>
          </w:p>
        </w:tc>
        <w:tc>
          <w:tcPr>
            <w:tcW w:w="30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Huron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Huron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4"/>
              </w:rPr>
              <w:t>and Life</w:t>
            </w:r>
          </w:p>
        </w:tc>
        <w:tc>
          <w:tcPr>
            <w:tcW w:w="260" w:type="dxa"/>
            <w:vAlign w:val="bottom"/>
          </w:tcPr>
          <w:p>
            <w:pPr>
              <w:spacing w:after="0"/>
              <w:rPr>
                <w:sz w:val="17"/>
                <w:szCs w:val="17"/>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Huron</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gridSpan w:val="3"/>
            <w:vMerge w:val="continue"/>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Healthcare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Legal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3"/>
              </w:rPr>
              <w:t>Sciences</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30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Health and Education Consulting</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355,880</w:t>
            </w:r>
          </w:p>
        </w:tc>
        <w:tc>
          <w:tcPr>
            <w:tcW w:w="3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94,601</w:t>
            </w:r>
          </w:p>
        </w:tc>
        <w:tc>
          <w:tcPr>
            <w:tcW w:w="3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450,481</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Legal Consulting</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52,947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52,947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Consulting</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159,077</w:t>
            </w:r>
          </w:p>
        </w:tc>
        <w:tc>
          <w:tcPr>
            <w:tcW w:w="3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00" w:type="dxa"/>
            <w:vAlign w:val="bottom"/>
            <w:gridSpan w:val="3"/>
          </w:tcPr>
          <w:p>
            <w:pPr>
              <w:spacing w:after="0"/>
              <w:rPr>
                <w:sz w:val="20"/>
                <w:szCs w:val="20"/>
                <w:color w:val="auto"/>
              </w:rPr>
            </w:pPr>
            <w:r>
              <w:rPr>
                <w:rFonts w:ascii="Arial" w:cs="Arial" w:eastAsia="Arial" w:hAnsi="Arial"/>
                <w:sz w:val="16"/>
                <w:szCs w:val="16"/>
                <w:color w:val="auto"/>
              </w:rPr>
              <w:t>Total new alignment as of December 31, 2012</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355,880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52,947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94,601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159,077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662,505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impairment</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(142,983)</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gridSpan w:val="3"/>
          </w:tcPr>
          <w:p>
            <w:pPr>
              <w:spacing w:after="0"/>
              <w:rPr>
                <w:sz w:val="20"/>
                <w:szCs w:val="20"/>
                <w:color w:val="auto"/>
              </w:rPr>
            </w:pPr>
            <w:r>
              <w:rPr>
                <w:rFonts w:ascii="Arial" w:cs="Arial" w:eastAsia="Arial" w:hAnsi="Arial"/>
                <w:sz w:val="16"/>
                <w:szCs w:val="16"/>
                <w:color w:val="auto"/>
              </w:rPr>
              <w:t>Goodwill, net as of December 31, 2012</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355,880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52,947</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94,601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16,094</w:t>
            </w:r>
          </w:p>
        </w:tc>
        <w:tc>
          <w:tcPr>
            <w:tcW w:w="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gridSpan w:val="3"/>
          </w:tcPr>
          <w:p>
            <w:pPr>
              <w:spacing w:after="0"/>
              <w:rPr>
                <w:sz w:val="20"/>
                <w:szCs w:val="20"/>
                <w:color w:val="auto"/>
              </w:rPr>
            </w:pPr>
            <w:r>
              <w:rPr>
                <w:rFonts w:ascii="Arial" w:cs="Arial" w:eastAsia="Arial" w:hAnsi="Arial"/>
                <w:sz w:val="16"/>
                <w:szCs w:val="16"/>
                <w:color w:val="auto"/>
              </w:rPr>
              <w:t>Goodwill, net as of September 30, 2013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355,880</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52,939</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94,601</w:t>
            </w:r>
          </w:p>
        </w:tc>
        <w:tc>
          <w:tcPr>
            <w:tcW w:w="300" w:type="dxa"/>
            <w:vAlign w:val="bottom"/>
          </w:tcPr>
          <w:p>
            <w:pPr>
              <w:spacing w:after="0"/>
              <w:rPr>
                <w:sz w:val="17"/>
                <w:szCs w:val="17"/>
                <w:color w:val="auto"/>
              </w:rPr>
            </w:pP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16,094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$ 519,514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2013 Goodwill Reassignment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and reporting units.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ASC 350, “Intangibles – Goodwill and Other,”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conjunction with the goodwill reassignment, we performed the first step of the goodwill impairment test for the goodwill balances within our Huron Healthcare and Huron Education and Life Sciences reporting units as of January 2, 2013. Based on the result of the first step of the goodwill impairment test, we determined that the fair values of our Huron Healthcare and Huron Education and Life Sciences reporting units exceeded their carrying values. Since the fair values of both reporting units exceeded their carrying values, the second step of the goodwill impairment test was not necessary.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2012 Goodwill Impairment Charge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second quarter of 2012, our Huron Financial segment leadership undertook several initiatives intended to improve the reporting unit’s financial performance. While the reporting unit’s third quarter financial results improved over the second quarter results, the progress of the financial, operational, and business development improvements was not in line with our expectations, causing us to believe that the likely time frame to improve the reporting unit’s performance would be longer than originally anticipated. Therefore, we concluded that the carrying value of the reporting unit likely exceeded its fair value and, in connection with the preparation of our financial statements for the quarter ended September 30, 2012, we performed an interim impairment test.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goodwill impairment test was performed using a quantitative two-step process. In the first step, we compared the fair value of the Huron Financial segment with its net book value (or carrying amount), including goodwill. In estimating the fair value of the Huron Financial segment, we relied on a combination of the income approach and the market approach, utilizing the guideline company method, with a fifty-fifty weighting. Based on the result of the first step, we determined that the fair value of our Huron Financial segment was less than its carrying value as of September 30, 2012 and, as such, we applied the second step of the goodwill impairment test to this reporting unit. The second step compared the implied fair value of the Huron Financial segment’s goodwill with the carrying amount of that goodwill. The implied fair value of goodwill is determined in the same manner as the amount of goodwill recognized in a business combination. That is,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 Based on the result of the second step of the goodwill impairment analysis, we recorded a $13.1 million non-cash pretax charge to reduce the carrying value of goodwill in our Huron Financial segment.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estimating future cash flows for our Huron Financial segment, we relied on an internally generated six-year forecast and a three percent long-term assumed annual revenue growth rate for periods after the six-year forecast. Our forecast was based on our historical experience, current backlog, expected market demand, and other industry information. Our discounted cash flow analysis assumed a 13% weighted average cost of capital (“WACC”) discount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2013 and December 31, 2012 consisted of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7"/>
              </w:rPr>
              <w:t>Useful</w:t>
            </w:r>
          </w:p>
        </w:tc>
        <w:tc>
          <w:tcPr>
            <w:tcW w:w="23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September 30, 2013</w:t>
            </w:r>
          </w:p>
        </w:tc>
        <w:tc>
          <w:tcPr>
            <w:tcW w:w="260" w:type="dxa"/>
            <w:vAlign w:val="bottom"/>
          </w:tcPr>
          <w:p>
            <w:pPr>
              <w:spacing w:after="0"/>
              <w:rPr>
                <w:sz w:val="20"/>
                <w:szCs w:val="20"/>
                <w:color w:val="auto"/>
              </w:rPr>
            </w:pPr>
          </w:p>
        </w:tc>
        <w:tc>
          <w:tcPr>
            <w:tcW w:w="266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Gross</w:t>
            </w:r>
          </w:p>
        </w:tc>
        <w:tc>
          <w:tcPr>
            <w:tcW w:w="2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Life in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Accumulated</w:t>
            </w:r>
          </w:p>
        </w:tc>
        <w:tc>
          <w:tcPr>
            <w:tcW w:w="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18"/>
                <w:szCs w:val="18"/>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Amortization</w:t>
            </w:r>
          </w:p>
        </w:tc>
        <w:tc>
          <w:tcPr>
            <w:tcW w:w="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 to 13</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$ 25,006</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13,160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$ 24,738</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1 to 6</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4,611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3,658</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4,684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 to 8</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Technology and software</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4,041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2,357</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4,041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Document reviewer database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$ 34,258</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19,443</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$ 34,063</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Identifiable intangible assets with finite lives are amortized over their estimated useful lives. The majority of customer relationships are amortized on an accelerated basis to correspond to the cash flows expected to be derived from the relationships. All other customer relationships, non-competition agreements, trade names, technology and software, and the document reviewer database are amortized on a straight-line basis.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amortization expense was $1.4 million and $1.9 million for the three months ended September 30, 2013 and September 30, 2012, respectively. Intangible assets amortization expense was $4.3 million and $5.1 million for the nine months ended September 30, 2013 and September 30, 2012, respectively. Estimated annual intangible assets amortization expense is $5.8 million for 2013, $4.6 million for 2014, $3.1 million for 2015, $1.9 million for 2016, $1.2 million for 2017 and $0.8 million for 2018. Actual future amortization expense could differ from these estimated amounts as a result of future acquisitions and other factors.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6"/>
          </w:tcPr>
          <w:p>
            <w:pPr>
              <w:ind w:left="2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17,161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17,171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44,313</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24"/>
                <w:szCs w:val="24"/>
                <w:color w:val="auto"/>
              </w:rPr>
            </w:pPr>
          </w:p>
        </w:tc>
        <w:tc>
          <w:tcPr>
            <w:tcW w:w="720" w:type="dxa"/>
            <w:vAlign w:val="bottom"/>
          </w:tcPr>
          <w:p>
            <w:pPr>
              <w:jc w:val="center"/>
              <w:ind w:left="50"/>
              <w:spacing w:after="0"/>
              <w:rPr>
                <w:sz w:val="20"/>
                <w:szCs w:val="20"/>
                <w:color w:val="auto"/>
              </w:rPr>
            </w:pPr>
            <w:r>
              <w:rPr>
                <w:rFonts w:ascii="Arial" w:cs="Arial" w:eastAsia="Arial" w:hAnsi="Arial"/>
                <w:sz w:val="18"/>
                <w:szCs w:val="18"/>
                <w:color w:val="auto"/>
                <w:w w:val="90"/>
              </w:rPr>
              <w:t>22,386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21,950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22,293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22,873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22,326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30"/>
              <w:spacing w:after="0"/>
              <w:rPr>
                <w:sz w:val="20"/>
                <w:szCs w:val="20"/>
                <w:color w:val="auto"/>
              </w:rPr>
            </w:pPr>
            <w:r>
              <w:rPr>
                <w:rFonts w:ascii="Arial" w:cs="Arial" w:eastAsia="Arial" w:hAnsi="Arial"/>
                <w:sz w:val="18"/>
                <w:szCs w:val="18"/>
                <w:color w:val="auto"/>
                <w:w w:val="91"/>
              </w:rPr>
              <w:t>0.77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0.77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30"/>
              <w:spacing w:after="0"/>
              <w:rPr>
                <w:sz w:val="20"/>
                <w:szCs w:val="20"/>
                <w:color w:val="auto"/>
              </w:rPr>
            </w:pPr>
            <w:r>
              <w:rPr>
                <w:rFonts w:ascii="Arial" w:cs="Arial" w:eastAsia="Arial" w:hAnsi="Arial"/>
                <w:sz w:val="18"/>
                <w:szCs w:val="18"/>
                <w:color w:val="auto"/>
                <w:w w:val="91"/>
              </w:rPr>
              <w:t>0.75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0.75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computation of diluted earnings per share excludes unvested restricted common stock, outstanding options and other common stock equivalents in periods where inclusion of such potential common stock instruments would be anti-dilutive. The weighted average common stock equivalents presented above do not include the effect of approximately 36,600 and 42,200 common stock equivalents for the three months ended September 30, 2013 and 2012, respectively, and approximately 78,900 and 85,300 common stock equivalents for the nine months ended September 30, 2013 and 2012, respectively, because their inclusion would be anti-dilutive.</w:t>
      </w:r>
    </w:p>
    <w:p>
      <w:pPr>
        <w:spacing w:after="0" w:line="30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and second amendments to the credit agreement dated as of August 31, 2012 and September 25, 2013, respectively (as amended and modified, the “2011 Credit Agreement”). The 2011 Credit Agreement replaced the previous Credit Agreement, dated as of June 7, 2006, and all subsequent amendments thereto, by and among the Company and the lenders therein. The second amendment to the credit agreement, which we entered into during the third quarter of 2013, extended the term of the 2011 Credit Agreement from August 31, 2017 to September 25, 2018, and provided for less restrictive covenants, among other things.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date of the second amendment to the credit agreement, the Term Loan had a principal amount outstanding of $181.3 million. This principal balance is subject to scheduled quarterly amortization payments equal to 6.9% of the principal balance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September 30, 2013, the Company has made all scheduled quarterly amortization payments as they have come due in accordance with the Term Loan.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3.00 to 1.00 as of September 30, 2013, as those ratios are defined therein, as well as a minimum net worth greater than $150 million. At September 30, 2013, we were in compliance with these financial covenants with a fixed charge coverage ratio of 4.14 to 1.00, a leverage ratio of 1.18 to 1.00, and net worth greater than $150 million. At December 31, 2012, we were also in compliance with these financial debt covenants.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borrowing capacity under the 2011 Credit Agreement is reduced by any outstanding letters of credit and payments under the Term Loan. At September 30, 2013, outstanding letters of credit totaled $4.8 million and are primarily used as security deposits for our office facilities. As of September 30, 2013, the unused borrowing capacity under the 2011 Credit Agreement was $242.7 million. Borrowings outstanding under this credit facility at September 30, 2013 totaled $175.0 million, all of which was under the Term Loan. These borrowings carried a weighted average interest rate of 2.0%, including the effect of the interest rate swaps described below in Note 9 “Derivative Instruments and Hedging Activity.” Borrowings outstanding at December 31, 2012 were $192.5 million and carried a weighted average interest rate of 2.5%. 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297"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second quarter of 2013, we incurred a $0.6 million pretax restructuring charge related to the consolidation of office space in Washington, D.C. The charge primarily consisted of the accrual of remaining lease payments for an office we vacated during the second quarter of 2013.</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third quarter of 2012, we incurred a $2.2 million pretax restructuring charge primarily consisting of $0.9 million related to the consolidation of office space in Washington, D.C. and $1.1 million related to our office relocation in New York, which occurred in the fourth quarter of 2012. The Washington, D.C. charge included an accrual of $0.7 million for the remaining lease payments, net of estimated sublease income, for the office space we vacated during the third quarter of 2012 and $0.2 million of accelerated depreciation on leasehold improvements for that space. The New York charge included $0.4 million of accelerated depreciation and $0.7 million for brokerage fees related to the execution of a sublease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arrangement. We did not incur a lease charge related to the relocation of our New York City office space as income from our subtenant is expected to more than offset our remaining lease obligations through 2016, net of our deferred lease liability. During the first and second quarters of 2012, we incurred cumulative charges of $1.1 million primarily related to accelerated depreciation on our New York office leasehold improvements, partially offset by the net favorable impact of updated assumptions for lease accruals related to previously vacated office spaces.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2013, our restructuring charge liability is $0.8 million, and primarily consists of the present value of remaining lease payments, net of estimated sublease income, for our vacated office spaces in San Francisco and Washington, D.C. The restructuring charge liability is included as a component of Accrued expenses and Deferred compensation and other liabilities.</w:t>
      </w:r>
    </w:p>
    <w:p>
      <w:pPr>
        <w:spacing w:after="0" w:line="29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20, 2009, we entered into an interest rate swap agreement for a notional amount of $100.0 million effective on March 31, 2009 and ending on February 23, 2012. We entered into this derivative instrument to hedge against the risk of changes in future cash flows related to changes in interest rates on $100.0 million of the total variable-rate borrowings outstanding described above in Note 7 “Borrowings.” Under the terms of the interest rate swap agreement, we 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4, 2013, we entered into a one-year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FASB 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September 30, 2013, it was anticipated that $0.4 million of the net losses, net of tax, currently recorded in OCI will be reclassified into earnings within the next 12 months. Our interest rate swap agreements were effective during the three and nine months ended September 30, 2013.</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September 30, 2013 and December 31, 2012.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720" w:type="dxa"/>
            <w:vAlign w:val="bottom"/>
            <w:gridSpan w:val="6"/>
          </w:tcPr>
          <w:p>
            <w:pPr>
              <w:ind w:left="180"/>
              <w:spacing w:after="0"/>
              <w:rPr>
                <w:sz w:val="20"/>
                <w:szCs w:val="20"/>
                <w:color w:val="auto"/>
              </w:rPr>
            </w:pPr>
            <w:r>
              <w:rPr>
                <w:rFonts w:ascii="Arial" w:cs="Arial" w:eastAsia="Arial" w:hAnsi="Arial"/>
                <w:sz w:val="18"/>
                <w:szCs w:val="18"/>
                <w:b w:val="1"/>
                <w:bCs w:val="1"/>
                <w:color w:val="auto"/>
                <w:w w:val="99"/>
              </w:rPr>
              <w:t>Fair Value (Derivative Asset and Liability)</w:t>
            </w:r>
          </w:p>
        </w:tc>
        <w:tc>
          <w:tcPr>
            <w:tcW w:w="0" w:type="dxa"/>
            <w:vAlign w:val="bottom"/>
          </w:tcPr>
          <w:p>
            <w:pPr>
              <w:spacing w:after="0"/>
              <w:rPr>
                <w:sz w:val="1"/>
                <w:szCs w:val="1"/>
                <w:color w:val="auto"/>
              </w:rPr>
            </w:pPr>
          </w:p>
        </w:tc>
      </w:tr>
      <w:tr>
        <w:trPr>
          <w:trHeight w:val="191"/>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Location</w:t>
            </w:r>
          </w:p>
        </w:tc>
        <w:tc>
          <w:tcPr>
            <w:tcW w:w="3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Other non-current assets</w:t>
            </w:r>
          </w:p>
        </w:tc>
        <w:tc>
          <w:tcPr>
            <w:tcW w:w="5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582</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and other liabilities</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If we had elected to net derivative instruments subject to master netting agreements as of September 30, 2013, the impact would have reduced our derivative assets and liabilities by $0.2 million. As of December 31, 2012, all of our derivative instruments were recorded as liabilities.</w:t>
      </w: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use derivative instruments for trading or other speculative purposes, and we did not have any other derivative instruments or hedging activities as of September 30, 2013. Refer to Note 11 “Other Comprehensive Income (Loss)” for additional information on our derivative instruments.</w:t>
      </w:r>
    </w:p>
    <w:p>
      <w:pPr>
        <w:spacing w:after="0" w:line="264"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assets and liabilities are measured at fair value. FASB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459" w:right="23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or liabilities that the reporting entity has the ability to access at the measurement date.</w:t>
      </w:r>
    </w:p>
    <w:p>
      <w:pPr>
        <w:spacing w:after="0" w:line="200" w:lineRule="exact"/>
        <w:rPr>
          <w:sz w:val="20"/>
          <w:szCs w:val="20"/>
          <w:color w:val="auto"/>
        </w:rPr>
      </w:pPr>
    </w:p>
    <w:p>
      <w:pPr>
        <w:sectPr>
          <w:pgSz w:w="11900" w:h="16838" w:orient="portrait"/>
          <w:cols w:equalWidth="0" w:num="2">
            <w:col w:w="1040" w:space="460"/>
            <w:col w:w="9920"/>
          </w:cols>
          <w:pgMar w:left="240" w:top="459"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200" w:lineRule="exact"/>
        <w:rPr>
          <w:sz w:val="20"/>
          <w:szCs w:val="20"/>
          <w:color w:val="auto"/>
        </w:rPr>
      </w:pPr>
    </w:p>
    <w:p>
      <w:pPr>
        <w:sectPr>
          <w:pgSz w:w="11900" w:h="16838" w:orient="portrait"/>
          <w:cols w:equalWidth="0" w:num="2">
            <w:col w:w="1040" w:space="460"/>
            <w:col w:w="9920"/>
          </w:cols>
          <w:pgMar w:left="240" w:top="459"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040" w:space="460"/>
            <w:col w:w="9920"/>
          </w:cols>
          <w:pgMar w:left="240" w:top="459" w:right="239" w:bottom="1440" w:gutter="0" w:footer="0" w:header="0"/>
          <w:type w:val="continuous"/>
        </w:sectPr>
      </w:pPr>
    </w:p>
    <w:p>
      <w:pPr>
        <w:spacing w:after="0" w:line="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7 “Borrowings.”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2013 and December 31,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Quoted Prices</w:t>
            </w:r>
          </w:p>
        </w:tc>
        <w:tc>
          <w:tcPr>
            <w:tcW w:w="3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 Active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Markets for</w:t>
            </w:r>
          </w:p>
        </w:tc>
        <w:tc>
          <w:tcPr>
            <w:tcW w:w="3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Observable</w:t>
            </w:r>
          </w:p>
        </w:tc>
        <w:tc>
          <w:tcPr>
            <w:tcW w:w="34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Inputs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(Level 2)</w:t>
            </w:r>
          </w:p>
        </w:tc>
        <w:tc>
          <w:tcPr>
            <w:tcW w:w="34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2013</w:t>
            </w:r>
          </w:p>
        </w:tc>
        <w:tc>
          <w:tcPr>
            <w:tcW w:w="6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2,666</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rate swaps</w:t>
            </w: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366</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2,666</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 acquisition payments</w:t>
            </w: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5,103</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5,103</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December 31, 2012</w:t>
            </w:r>
          </w:p>
        </w:tc>
        <w:tc>
          <w:tcPr>
            <w:tcW w:w="6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6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Promissory note</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2,907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932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payments</w:t>
            </w:r>
          </w:p>
        </w:tc>
        <w:tc>
          <w:tcPr>
            <w:tcW w:w="6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10,525</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932</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10,525</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the consideration received for the sale of our AA practice on December 30, 2011, the Company received a $3.5 million promissory note payable over four years. The note will be paid to the Company in quarterly installments of approximately $0.2 million which began in the second quarter of 2013 with a final payment of approximately $1.1 million on the maturity date in December 2015. The fair value of the note is based on the net present value of the projected cash flows using a discount rate of 14%, which accounts for the risks associated with the note. The decrease in the fair value of the note during the first nine months of 2013 reflects the principal payments received, less the accretion of interest income in excess of interest payments received.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acquisition payments are included in the total purchase consideration for certain business acquisitions the Company has completed and represent fixed future payments owed to the sellers of those businesses. The fair value of the deferred acquisition payments is based on the payment terms, which range from one to two years, and the net present value of expected cash flows using a discount rate ranging from 4% to 8%. The decrease in the fair value of the deferred acquisition payments during the first nine months of 2013 reflects payments of principal and accrued interest during the first nine months of 2013, less the accretion of interest expense in excess of interest payments made.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components of other comprehensive income, net of tax, for the three and nine months ended September 30, 2013 and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gridSpan w:val="9"/>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6"/>
                <w:szCs w:val="16"/>
                <w:b w:val="1"/>
                <w:bCs w:val="1"/>
                <w:color w:val="auto"/>
                <w:w w:val="90"/>
              </w:rPr>
              <w:t>September 30, 2013</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0"/>
              </w:rPr>
              <w:t>September 30, 2012</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4"/>
              </w:rPr>
              <w:t>Tax</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Tax</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Arial" w:cs="Arial" w:eastAsia="Arial" w:hAnsi="Arial"/>
                <w:sz w:val="16"/>
                <w:szCs w:val="16"/>
                <w:b w:val="1"/>
                <w:bCs w:val="1"/>
                <w:color w:val="auto"/>
                <w:w w:val="98"/>
              </w:rPr>
              <w:t>Before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(Expense)</w:t>
            </w:r>
          </w:p>
        </w:tc>
        <w:tc>
          <w:tcPr>
            <w:tcW w:w="16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Net of</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Before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(Expense)</w:t>
            </w:r>
          </w:p>
        </w:tc>
        <w:tc>
          <w:tcPr>
            <w:tcW w:w="2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of</w:t>
            </w: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6"/>
                <w:szCs w:val="16"/>
                <w:b w:val="1"/>
                <w:bCs w:val="1"/>
                <w:color w:val="auto"/>
              </w:rPr>
              <w:t>Taxes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2"/>
              </w:rPr>
              <w:t>Benefit</w:t>
            </w:r>
          </w:p>
        </w:tc>
        <w:tc>
          <w:tcPr>
            <w:tcW w:w="16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Taxes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3"/>
              </w:rPr>
              <w:t>Taxes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Benefit</w:t>
            </w:r>
          </w:p>
        </w:tc>
        <w:tc>
          <w:tcPr>
            <w:tcW w:w="2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Taxes</w:t>
            </w:r>
          </w:p>
        </w:tc>
      </w:tr>
      <w:tr>
        <w:trPr>
          <w:trHeight w:val="202"/>
        </w:trPr>
        <w:tc>
          <w:tcPr>
            <w:tcW w:w="20" w:type="dxa"/>
            <w:vAlign w:val="bottom"/>
          </w:tcPr>
          <w:p>
            <w:pPr>
              <w:spacing w:after="0"/>
              <w:rPr>
                <w:sz w:val="17"/>
                <w:szCs w:val="17"/>
                <w:color w:val="auto"/>
              </w:rPr>
            </w:pPr>
          </w:p>
        </w:tc>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1,019</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 (loss) on cash flow hedges: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(549)</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adjustments into earnings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86</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Net unrealized gain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(245)</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780</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258</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r>
      <w:tr>
        <w:trPr>
          <w:trHeight w:val="69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w w:val="92"/>
              </w:rPr>
              <w:t>Nine Months Ended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6"/>
                <w:szCs w:val="16"/>
                <w:b w:val="1"/>
                <w:bCs w:val="1"/>
                <w:color w:val="auto"/>
                <w:w w:val="89"/>
              </w:rPr>
              <w:t>September 30, 2013</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w w:val="90"/>
              </w:rPr>
              <w:t>September 30, 2012</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4"/>
              </w:rPr>
              <w:t>Tax</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Tax</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53"/>
              <w:spacing w:after="0"/>
              <w:rPr>
                <w:sz w:val="20"/>
                <w:szCs w:val="20"/>
                <w:color w:val="auto"/>
              </w:rPr>
            </w:pPr>
            <w:r>
              <w:rPr>
                <w:rFonts w:ascii="Arial" w:cs="Arial" w:eastAsia="Arial" w:hAnsi="Arial"/>
                <w:sz w:val="16"/>
                <w:szCs w:val="16"/>
                <w:b w:val="1"/>
                <w:bCs w:val="1"/>
                <w:color w:val="auto"/>
                <w:w w:val="90"/>
              </w:rPr>
              <w:t>Before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1"/>
              </w:rPr>
              <w:t>(Expense)</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of</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Before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(Expense)</w:t>
            </w:r>
          </w:p>
        </w:tc>
        <w:tc>
          <w:tcPr>
            <w:tcW w:w="2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of</w:t>
            </w: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3"/>
              <w:spacing w:after="0"/>
              <w:rPr>
                <w:sz w:val="20"/>
                <w:szCs w:val="20"/>
                <w:color w:val="auto"/>
              </w:rPr>
            </w:pPr>
            <w:r>
              <w:rPr>
                <w:rFonts w:ascii="Arial" w:cs="Arial" w:eastAsia="Arial" w:hAnsi="Arial"/>
                <w:sz w:val="16"/>
                <w:szCs w:val="16"/>
                <w:b w:val="1"/>
                <w:bCs w:val="1"/>
                <w:color w:val="auto"/>
                <w:w w:val="92"/>
              </w:rPr>
              <w:t>Taxes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2"/>
              </w:rPr>
              <w:t>Benefit</w:t>
            </w:r>
          </w:p>
        </w:tc>
        <w:tc>
          <w:tcPr>
            <w:tcW w:w="16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Taxes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Taxes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2"/>
              </w:rPr>
              <w:t>Benefit</w:t>
            </w:r>
          </w:p>
        </w:tc>
        <w:tc>
          <w:tcPr>
            <w:tcW w:w="2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Taxes</w:t>
            </w:r>
          </w:p>
        </w:tc>
      </w:tr>
      <w:tr>
        <w:trPr>
          <w:trHeight w:val="202"/>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 (loss) on cash flow hedges: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308</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adjustments into earnings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unrealized gain (loss)</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729</w:t>
            </w:r>
          </w:p>
        </w:tc>
        <w:tc>
          <w:tcPr>
            <w:tcW w:w="280" w:type="dxa"/>
            <w:vAlign w:val="bottom"/>
            <w:gridSpan w:val="2"/>
          </w:tcPr>
          <w:p>
            <w:pPr>
              <w:spacing w:after="0"/>
              <w:rPr>
                <w:sz w:val="20"/>
                <w:szCs w:val="20"/>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791</w:t>
            </w:r>
          </w:p>
        </w:tc>
        <w:tc>
          <w:tcPr>
            <w:tcW w:w="28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loss related to our cash flow hedges are recorded to Interest expense, net of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net of tax, includes the following components: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Foreign Currency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Net Unrealized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Gains/(Losses) 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Accumulated Other</w:t>
            </w: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Derivatives</w:t>
            </w:r>
          </w:p>
        </w:tc>
        <w:tc>
          <w:tcPr>
            <w:tcW w:w="180" w:type="dxa"/>
            <w:vAlign w:val="bottom"/>
          </w:tcPr>
          <w:p>
            <w:pPr>
              <w:spacing w:after="0"/>
              <w:rPr>
                <w:sz w:val="20"/>
                <w:szCs w:val="20"/>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Comprehensive Loss</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(554)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 period change</w:t>
            </w:r>
          </w:p>
        </w:tc>
        <w:tc>
          <w:tcPr>
            <w:tcW w:w="4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439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effective tax rates for the three months ended September 30, 2013 and 2012 were 42.2% and 43.4%, respectively. The Company’s effective tax rates for the nine months ended September 30, 2013 and 2012 were 43.1% and 47.6%, respectively. The effective tax rates for the three and nine months ended September 30, 2013 were higher than the statutory rate, inclusive of state income taxes, due primarily to the impact of foreign losses with no tax benefit and certain non-deductible business expenses, partially offset by the impact of certain credits and deductions. The effective tax rates for both periods in 2012 were higher than the statutory rate, inclusive of state income taxes, due primarily to the impact of foreign losses with no tax benefit, partially offset by the release of reserves for uncertain tax positions. The foreign losses with no tax benefit had a larger impact on our effective tax rate in both periods of 2012 compared to 2013 due to the lower pretax income from continuing operations for both the three and nine months ended September 30, 2012.</w:t>
      </w:r>
    </w:p>
    <w:p>
      <w:pPr>
        <w:spacing w:after="0" w:line="285" w:lineRule="exact"/>
        <w:rPr>
          <w:sz w:val="20"/>
          <w:szCs w:val="20"/>
          <w:color w:val="auto"/>
        </w:rPr>
      </w:pPr>
    </w:p>
    <w:p>
      <w:pPr>
        <w:ind w:right="7320" w:firstLine="8"/>
        <w:spacing w:after="0" w:line="526" w:lineRule="auto"/>
        <w:tabs>
          <w:tab w:leader="none" w:pos="56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December 9, 2009, plaintiff, Associates Against Outlier Fraud, filed a first amended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alleging that false or fraudulent claims were knowingly submitted to the government. Once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recorded in the second quarter of 2012, in accordance with FASB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We continue to believe that the claims are without merit and intend to vigorously defend ourselves in this matter.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We believe the claims made by Tamalluk Business Development and its principal are without merit and intend to vigorously defend ourselves in this matter.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2013, we reached a settlement agreement to resolve a lawsuit brought by Huron, resulting in a gain of $5.3 million being recorded. We collected $2.6 million of the settlement amount during the fourth quarter of 2013, and we anticipate the remaining amount will be collected during the first quarter of 2014. The settlement receivable is recorded in Prepaid expenses and other current assets.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Guarantees in the form of letters of credit totaling $4.8 million and $5.1 million were outstanding at September 30, 2013 and December 31, 2012, respectively, to support certain office lease obligations as well as Middle East performance and bid bonds.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304"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Segments are defined by FASB ASC Topic 280, “Segment Reporting,” as components of a company in which separate financial information is available and is evaluated regularly by the chief operating decision maker, or decision-making group, in deciding how to allocate resources and in assessing performance. In the first quarter of 2013, the Company reorganized its internal financial reporting structure. Under the new structure, the Company began reporting information as five operating segments: Huron Healthcare; Huron Legal; Huron Education and Life Sciences; Huron Financial; and All Other. Our chief operating decision maker manages the business under these five operating segments.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this new internal financial reporting structure, the former Health and Education Consulting segment became two separate segments: Huron Healthcare and Huron Education and Life Sciences. These practices continue to share a significant number of academic medical center clients and will continue to closely collaborate in the market. The Legal Consulting segment is now referred to as Huron Legal and the Financial Consulting segment is now referred to as Huron Financial. The structure of the Legal Consulting and Financial Consulting segments did not change. In addition, certain immaterial practices which were historically part of our Health and Education Consulting segment were combined and disclosed in our All Other segment. While our consolidated results have not been impacted, we have restated our historical segment information for consistent presentation.</w:t>
      </w:r>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Healthcare</w:t>
      </w:r>
    </w:p>
    <w:p>
      <w:pPr>
        <w:spacing w:after="0" w:line="162"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Our Huron Healthcare segment provides consulting services to national and regional integrated health systems, physician practices, community hospitals, managed care organizations, and academic medical centers.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Legal</w:t>
      </w:r>
    </w:p>
    <w:p>
      <w:pPr>
        <w:spacing w:after="0" w:line="162"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law firms with their strategy, organizational design and development, operational efficiency, and cost effectiveness. These results-driven services help reduce the amounts they spend on legal services and enhance client service. Our expertise focuses on strategic and management consulting, cost management, and technology and information management including matter management, records management, digital evidence, document review and discovery services.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Education and Life Sciences</w:t>
      </w:r>
    </w:p>
    <w:p>
      <w:pPr>
        <w:spacing w:after="0" w:line="162" w:lineRule="exact"/>
        <w:rPr>
          <w:sz w:val="20"/>
          <w:szCs w:val="20"/>
          <w:color w:val="auto"/>
        </w:rPr>
      </w:pPr>
    </w:p>
    <w:p>
      <w:pPr>
        <w:jc w:val="both"/>
        <w:ind w:left="800"/>
        <w:spacing w:after="0" w:line="279" w:lineRule="auto"/>
        <w:rPr>
          <w:sz w:val="20"/>
          <w:szCs w:val="20"/>
          <w:color w:val="auto"/>
        </w:rPr>
      </w:pPr>
      <w:r>
        <w:rPr>
          <w:rFonts w:ascii="Arial" w:cs="Arial" w:eastAsia="Arial" w:hAnsi="Arial"/>
          <w:sz w:val="17"/>
          <w:szCs w:val="17"/>
          <w:color w:val="auto"/>
        </w:rPr>
        <w:t>Our Huron Education and Life Sciences segment provides consulting services to universities, research institutions, healthcare organizations, academic medical centers, and pharmaceutical, medical device manufacturer and biotechnology companies. We develop and implement performance improvement, technology, and research enterprise solutions to help clients address challenges relating to financial management, strategy, operational and organizational effectiveness, research administration, and regulatory compliance.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Financial</w:t>
      </w:r>
    </w:p>
    <w:p>
      <w:pPr>
        <w:spacing w:after="0" w:line="162"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Our Huron Financial segment provides financial advisory, restructuring and turnaround, interim management, valuation, forensic and litigation, and operational improvement consulting services to companies in transition, boards of directors, and investors and lenders. Our consultants provide senior level involvement and extensive industry experience to drive results. Our experienced leadership, management depth and flexible staffing model allow us to efficiently lead projects ranging from middle market to large company assignments. We draw on career experience gathered from operations, lending, investment banking, portfolio and asset management, public accounting, and management consulting to provide practical business solutions.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All Other</w:t>
      </w:r>
    </w:p>
    <w:p>
      <w:pPr>
        <w:spacing w:after="0" w:line="148"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Our All Other segment consists of any lines of business not managed by our other four operating segments. These businesses include our public sector consulting practice and our foreign healthcare and strategic consulting operations based in the Middle East.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information about our operating segments for the three and nine months ended September 30, 2013 and 2012, along with the items necessary to reconcile the segment information to the totals reported in the accompanying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92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tcPr>
          <w:p>
            <w:pPr>
              <w:jc w:val="center"/>
              <w:ind w:left="2670"/>
              <w:spacing w:after="0"/>
              <w:rPr>
                <w:sz w:val="20"/>
                <w:szCs w:val="20"/>
                <w:color w:val="auto"/>
              </w:rPr>
            </w:pPr>
            <w:r>
              <w:rPr>
                <w:rFonts w:ascii="Arial" w:cs="Arial" w:eastAsia="Arial" w:hAnsi="Arial"/>
                <w:sz w:val="18"/>
                <w:szCs w:val="18"/>
                <w:b w:val="1"/>
                <w:bCs w:val="1"/>
                <w:color w:val="auto"/>
                <w:w w:val="99"/>
              </w:rPr>
              <w:t>HURON CONSULTING GROUP INC.</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8"/>
          </w:tcPr>
          <w:p>
            <w:pPr>
              <w:jc w:val="center"/>
              <w:ind w:left="1530"/>
              <w:spacing w:after="0"/>
              <w:rPr>
                <w:sz w:val="20"/>
                <w:szCs w:val="20"/>
                <w:color w:val="auto"/>
              </w:rPr>
            </w:pPr>
            <w:r>
              <w:rPr>
                <w:rFonts w:ascii="Arial" w:cs="Arial" w:eastAsia="Arial" w:hAnsi="Arial"/>
                <w:sz w:val="18"/>
                <w:szCs w:val="18"/>
                <w:b w:val="1"/>
                <w:bCs w:val="1"/>
                <w:color w:val="auto"/>
              </w:rPr>
              <w:t>NOTES TO CONSOLIDATED FINANCIAL STATEMENTS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8"/>
          </w:tcPr>
          <w:p>
            <w:pPr>
              <w:jc w:val="center"/>
              <w:ind w:left="1510"/>
              <w:spacing w:after="0"/>
              <w:rPr>
                <w:sz w:val="20"/>
                <w:szCs w:val="20"/>
                <w:color w:val="auto"/>
              </w:rPr>
            </w:pPr>
            <w:r>
              <w:rPr>
                <w:rFonts w:ascii="Arial" w:cs="Arial" w:eastAsia="Arial" w:hAnsi="Arial"/>
                <w:sz w:val="18"/>
                <w:szCs w:val="18"/>
                <w:b w:val="1"/>
                <w:bCs w:val="1"/>
                <w:color w:val="auto"/>
                <w:w w:val="88"/>
              </w:rPr>
              <w:t>(Tabular amounts in thousands, except per share amounts)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3"/>
              </w:rPr>
              <w:t>(Unaudited)</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Huron Healthcare: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86,957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74,999</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244,648</w:t>
            </w:r>
          </w:p>
        </w:tc>
        <w:tc>
          <w:tcPr>
            <w:tcW w:w="120" w:type="dxa"/>
            <w:vAlign w:val="bottom"/>
          </w:tcPr>
          <w:p>
            <w:pPr>
              <w:spacing w:after="0"/>
              <w:rPr>
                <w:sz w:val="18"/>
                <w:szCs w:val="18"/>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2"/>
              </w:rPr>
              <w:t>201,171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30,772</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33,868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91,440</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3"/>
              </w:rPr>
              <w:t>Segment operating income as a percentage of segment revenues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Huron Legal:</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45,263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46,153</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131,296</w:t>
            </w:r>
          </w:p>
        </w:tc>
        <w:tc>
          <w:tcPr>
            <w:tcW w:w="120" w:type="dxa"/>
            <w:vAlign w:val="bottom"/>
          </w:tcPr>
          <w:p>
            <w:pPr>
              <w:spacing w:after="0"/>
              <w:rPr>
                <w:sz w:val="18"/>
                <w:szCs w:val="18"/>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2"/>
              </w:rPr>
              <w:t>133,443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15,138</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28,869</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3"/>
              </w:rPr>
              <w:t>Segment operating income as a percentage of segment revenues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Huron Education and Life Sciences: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34,806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33,863</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107,666</w:t>
            </w:r>
          </w:p>
        </w:tc>
        <w:tc>
          <w:tcPr>
            <w:tcW w:w="120" w:type="dxa"/>
            <w:vAlign w:val="bottom"/>
          </w:tcPr>
          <w:p>
            <w:pPr>
              <w:spacing w:after="0"/>
              <w:rPr>
                <w:sz w:val="18"/>
                <w:szCs w:val="18"/>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93,373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7,773</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12,406</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28,672</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3"/>
              </w:rPr>
              <w:t>Segment operating income as a percentage of segment revenues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Huron Financial:</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7,223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6,689</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25,068</w:t>
            </w:r>
          </w:p>
        </w:tc>
        <w:tc>
          <w:tcPr>
            <w:tcW w:w="120" w:type="dxa"/>
            <w:vAlign w:val="bottom"/>
          </w:tcPr>
          <w:p>
            <w:pPr>
              <w:spacing w:after="0"/>
              <w:rPr>
                <w:sz w:val="18"/>
                <w:szCs w:val="18"/>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16,821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664</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3"/>
              </w:rPr>
              <w:t>Segment operating income as a percentage of segment revenues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All Other: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486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(285)</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8"/>
              </w:rPr>
              <w:t>Segment operating loss as a percentage of segment revenues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174,735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161,888</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509,178</w:t>
            </w:r>
          </w:p>
        </w:tc>
        <w:tc>
          <w:tcPr>
            <w:tcW w:w="120" w:type="dxa"/>
            <w:vAlign w:val="bottom"/>
          </w:tcPr>
          <w:p>
            <w:pPr>
              <w:spacing w:after="0"/>
              <w:rPr>
                <w:sz w:val="18"/>
                <w:szCs w:val="18"/>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2"/>
              </w:rPr>
              <w:t>445,196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17,542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13,470</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6"/>
          </w:tcPr>
          <w:p>
            <w:pPr>
              <w:spacing w:after="0"/>
              <w:rPr>
                <w:sz w:val="20"/>
                <w:szCs w:val="20"/>
                <w:color w:val="auto"/>
              </w:rPr>
            </w:pPr>
            <w:r>
              <w:rPr>
                <w:rFonts w:ascii="Arial" w:cs="Arial" w:eastAsia="Arial" w:hAnsi="Arial"/>
                <w:sz w:val="18"/>
                <w:szCs w:val="18"/>
                <w:color w:val="auto"/>
              </w:rPr>
              <w:t>Total revenues and reimbursable expenses</w:t>
            </w:r>
          </w:p>
        </w:tc>
        <w:tc>
          <w:tcPr>
            <w:tcW w:w="1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192,277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175,358</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560,179</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487,016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Segment operating income</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54,062</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59,088</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156,275</w:t>
            </w: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2"/>
              </w:rPr>
              <w:t>131,006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Items not allocated at the segment level:</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4"/>
          </w:tcPr>
          <w:p>
            <w:pPr>
              <w:ind w:left="300"/>
              <w:spacing w:after="0"/>
              <w:rPr>
                <w:sz w:val="20"/>
                <w:szCs w:val="20"/>
                <w:color w:val="auto"/>
              </w:rPr>
            </w:pPr>
            <w:r>
              <w:rPr>
                <w:rFonts w:ascii="Arial" w:cs="Arial" w:eastAsia="Arial" w:hAnsi="Arial"/>
                <w:sz w:val="18"/>
                <w:szCs w:val="18"/>
                <w:color w:val="auto"/>
              </w:rPr>
              <w:t>Other operating expenses and gains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17,975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20,562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58,640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65,436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14,624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4"/>
          </w:tcPr>
          <w:p>
            <w:pPr>
              <w:ind w:left="300"/>
              <w:spacing w:after="0"/>
              <w:rPr>
                <w:sz w:val="20"/>
                <w:szCs w:val="20"/>
                <w:color w:val="auto"/>
              </w:rPr>
            </w:pPr>
            <w:r>
              <w:rPr>
                <w:rFonts w:ascii="Arial" w:cs="Arial" w:eastAsia="Arial" w:hAnsi="Arial"/>
                <w:sz w:val="18"/>
                <w:szCs w:val="18"/>
                <w:color w:val="auto"/>
              </w:rPr>
              <w:t>Goodwill impairment charge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13,083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Other expense, net</w:t>
            </w:r>
          </w:p>
        </w:tc>
        <w:tc>
          <w:tcPr>
            <w:tcW w:w="1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2,176</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6"/>
          </w:tcPr>
          <w:p>
            <w:pPr>
              <w:spacing w:after="0"/>
              <w:rPr>
                <w:sz w:val="20"/>
                <w:szCs w:val="20"/>
                <w:color w:val="auto"/>
              </w:rPr>
            </w:pPr>
            <w:r>
              <w:rPr>
                <w:rFonts w:ascii="Arial" w:cs="Arial" w:eastAsia="Arial" w:hAnsi="Arial"/>
                <w:sz w:val="18"/>
                <w:szCs w:val="18"/>
                <w:color w:val="auto"/>
                <w:w w:val="98"/>
              </w:rPr>
              <w:t>Income from continuing operations before income tax expense</w:t>
            </w:r>
          </w:p>
        </w:tc>
        <w:tc>
          <w:tcPr>
            <w:tcW w:w="1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29,692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18,388</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77,876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920" w:type="dxa"/>
            <w:vAlign w:val="bottom"/>
            <w:gridSpan w:val="6"/>
          </w:tcPr>
          <w:p>
            <w:pPr>
              <w:spacing w:after="0"/>
              <w:rPr>
                <w:sz w:val="20"/>
                <w:szCs w:val="20"/>
                <w:color w:val="auto"/>
              </w:rPr>
            </w:pPr>
            <w:r>
              <w:rPr>
                <w:rFonts w:ascii="Arial" w:cs="Arial" w:eastAsia="Arial" w:hAnsi="Arial"/>
                <w:sz w:val="18"/>
                <w:szCs w:val="18"/>
                <w:color w:val="auto"/>
              </w:rPr>
              <w:t>N/M – Not Meaningful</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gridSpan w:val="5"/>
          </w:tcPr>
          <w:p>
            <w:pPr>
              <w:ind w:left="220"/>
              <w:spacing w:after="0"/>
              <w:rPr>
                <w:sz w:val="20"/>
                <w:szCs w:val="20"/>
                <w:color w:val="auto"/>
              </w:rPr>
            </w:pPr>
            <w:r>
              <w:rPr>
                <w:rFonts w:ascii="Arial" w:cs="Arial" w:eastAsia="Arial" w:hAnsi="Arial"/>
                <w:sz w:val="18"/>
                <w:szCs w:val="18"/>
                <w:b w:val="1"/>
                <w:bCs w:val="1"/>
                <w:color w:val="auto"/>
              </w:rPr>
              <w:t>Segment Assets: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0"/>
              </w:rPr>
              <w:t>79,678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60,288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Huron Legal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w w:val="90"/>
              </w:rPr>
              <w:t>47,846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51,594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26,391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Huron Financial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w w:val="90"/>
              </w:rPr>
              <w:t>10,445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 Other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5"/>
                <w:szCs w:val="15"/>
                <w:color w:val="auto"/>
              </w:rPr>
              <w:t>(1)</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655,580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643,377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  820,012</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787,900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60" w:right="100" w:hanging="43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6"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both September 30, 2013 and December 31, 2012, no single client accounted for greater than 10% of our combined receivables and unbilled services balances. No single client generated greater than 10% of our consolidated revenues during the three and nine months ended September 30, 2013 and 2012.</w:t>
      </w:r>
    </w:p>
    <w:p>
      <w:pPr>
        <w:spacing w:after="0" w:line="241"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1, 2013, the Company completed its acquisition of the assets of Blue Stone International, LLC (“Blue Stone”), a provider of professional services supporting Oracle enterprise performance management, information management, and business intelligence solutions. Under the terms of the asset purchase agreement, the Company acquired substantially all of the assets and assumed certain liabilities of Blue Stone in exchange for $30 million in cash. The results of operations of Blue Stone will be included within the Huron Education and Life Sciences segment.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expectations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2012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Huron Consulting Group is a leading provider of operational and financial consulting services. We help clients in diverse industries improve performance, reduce costs, leverage technology, process and review large amounts of complex data, address regulatory changes, recover from distress and stimulate growth. Our professionals employ their expertise in administration, management,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We have worked with more than 90 of the top 100 research universities, more than 400 corporate general counsel, and more than 385 hospitals and academic medical centers.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our services through five operating segments: Huron Healthcare, Huron Legal, Huron Education and Life Sciences, Huron Financial and All Other.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Healthcare</w:t>
      </w:r>
    </w:p>
    <w:p>
      <w:pPr>
        <w:spacing w:after="0" w:line="162"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Our Huron Healthcare segment provides consulting services to national and regional integrated health systems, physician practices, community hospitals, managed care organizations, and academic medical centers.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Legal</w:t>
      </w:r>
    </w:p>
    <w:p>
      <w:pPr>
        <w:spacing w:after="0" w:line="121"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law firms with their strategy, organizational design and development, operational efficiency, and cost effectiveness. These results-driven services help reduce the amounts they spend on legal services and enhance client service. Our expertise focuses on strategic and management consulting, cost management, and technology and information management including matter management, records management, digital evidence, document review and discovery services.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Education and Life Sciences</w:t>
      </w:r>
    </w:p>
    <w:p>
      <w:pPr>
        <w:spacing w:after="0" w:line="121" w:lineRule="exact"/>
        <w:rPr>
          <w:sz w:val="20"/>
          <w:szCs w:val="20"/>
          <w:color w:val="auto"/>
        </w:rPr>
      </w:pPr>
    </w:p>
    <w:p>
      <w:pPr>
        <w:jc w:val="both"/>
        <w:ind w:left="800"/>
        <w:spacing w:after="0" w:line="279" w:lineRule="auto"/>
        <w:rPr>
          <w:sz w:val="20"/>
          <w:szCs w:val="20"/>
          <w:color w:val="auto"/>
        </w:rPr>
      </w:pPr>
      <w:r>
        <w:rPr>
          <w:rFonts w:ascii="Arial" w:cs="Arial" w:eastAsia="Arial" w:hAnsi="Arial"/>
          <w:sz w:val="17"/>
          <w:szCs w:val="17"/>
          <w:color w:val="auto"/>
        </w:rPr>
        <w:t>Our Huron Education and Life Sciences segment provides consulting services to universities, research institutions, healthcare organizations, academic medical centers, and pharmaceutical, medical device manufacturer and biotechnology companies. We develop and implement performance improvement, technology, and research enterprise solutions to help clients address challenges relating to financial management, strategy, operational and organizational effectiveness, research administration, and regulatory compliance.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Financial</w:t>
      </w:r>
    </w:p>
    <w:p>
      <w:pPr>
        <w:spacing w:after="0" w:line="162"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Our Huron Financial segment provides financial advisory, restructuring and turnaround, interim management, valuation, forensic and litigation, and operational improvement consulting services to companies in transition, boards of directors, and investors and lenders. Our consultants provide senior level involvement and extensive industry experience to drive results. Our experienced leadership, management depth and flexible staffing model allow us to efficiently lead projects ranging from middle market to large company assignments. We draw on career experience gathered from operations, lending, investment banking, portfolio and asset management, public accounting, and management consulting to provide practical business solutions.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All Other</w:t>
      </w:r>
    </w:p>
    <w:p>
      <w:pPr>
        <w:spacing w:after="0" w:line="16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45.3% and 48.1% of our revenues in the three months ended September 30, 2013 and 2012, respectively. Time-and-expense engagements represented 46.3% and 48.1% of our revenues in the nine months ended September 30, 2013 and 2012,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which may include the deployment of our proprietary software.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our estimates of work completed to-date versus the total services to be provided under the engagement.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revenues from licensing two types of proprietary software to clients. Licenses for our revenue cycle management software are sold only as a component of our consulting projects and the services we provide are essential to the functionality of the software. Therefore, revenues from the revenue cycle management software licenses are recognized over the term of the related consulting services contract in accordance with Financial Accounting Standards Board (“FASB”) Accounting Standards Codification (“ASC”) Topic 605-35, “Revenue Recognition.” License revenue from our research administration and compliance software is recognized in accordance with FASB ASC Topic 985-605, “Software – Revenue Recognition,” generally in the month in which the software is delivered.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2013 and 2012, fixed-fee engagements (including software license revenue) represented approximately 37.8%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31.8%, respectively, of our revenues. For the nine months ended September 30, 2013 and 2012, fixed-fee engagements represented approximately 38.5%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35.6%, respectively, of our revenues.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13.2% and 16.8% of our revenues in the three months ended September 30, 2013 and 2012, respectively. Performance-based fee revenues represented 11.8% and 12.7% of our revenues in the nine months ended September 30, 2013 and 2012, respectively. Performance-based fee engagements may cause significant variations in quarterly revenues and operating results depending on the timing of achievement of the performance-based criteria.</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3.7% and 3.3% of our revenues in the three months ended September 30, 2013 and 2012, respectively. Support and maintenance revenues represented 3.4% and 3.6% of our revenues in the nine months ended September 30, 2013 and 2012, respectively.</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have entered into select acquisitions of complementary businesses and continue to hire highly qualified professionals.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considering an amendment to our 2012 Omnibus Incentive Plan to increase the number of shares available for grant so we may continue to attract and retain key business leaders and align their interests with those of our stockholders to drive future growth. It is likely that if we do so, we would request approval for an amount of shares that could be larger than the amount of shares approved by the shareholders in 2012.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2012. Below is an update to our critical accounting policy relating to the carrying values of goodwill and other intangible assets. There have been no material changes to our other critical accounting policies during the first nine months of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and reporting units.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ASC 350, “Intangibles – Goodwill and Other,”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conjunction with the goodwill reassignment, we performed the first step of the goodwill impairment test for the goodwill balances within our Huron Healthcare and Huron Education and Life Sciences reporting units as of January 2, 2013. Based on the result of the first step of the goodwill impairment test, we determined that the fair values of our Huron Healthcare and Huron Education and Life Sciences reporting units exceeded their carrying values. Since the fair values of both reporting units exceeded their carrying values, the second step of the goodwill impairment test was not necessary.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estimating the fair value of our Huron Healthcare and Huron Education and Life Sciences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income approach, we utilized a discounted cash flow analysis, which involved estimating the expected after-tax cash flows that will be generated by our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six-year forecast. For periods after the six-year forecast, we assumed a 3.5% long-term annual revenue growth rate. Our forecast is based on our historical experience, current backlog, expected market demand, and other industry information. Our discounted cash flow analysis assumed a 13% weighted average cost of capital (“WACC”) discount rate for each reporting unit.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adjusted for factors similar to those used in a discounted cash flow analysis and applied to the operating data for our reporting units to arrive at an indication of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Certain amounts reported in the prior year have been reclassified to conform to the current presentation.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Segment and Consolidated Operating Results</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14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86,957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74,999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244,648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201,171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45,263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46,153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131,296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133,443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107,666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7,223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6,689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25,068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Total revenues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174,735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161,888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509,178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445,196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17,542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13,470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51,001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192,277</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175,358</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560,179</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487,016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Huron Healthcare</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30,772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33,868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91,440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69,778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11,479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7,773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12,406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28,672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7,995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segment operating income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54,062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59,088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156,275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131,006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 and gains not allocated to segments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22,943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38,524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73,264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31,119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20,564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83,011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Operating Data (excluding All Other):</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82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0" w:type="dxa"/>
            <w:vAlign w:val="bottom"/>
            <w:tcBorders>
              <w:top w:val="single" w:sz="8" w:color="auto"/>
            </w:tcBorders>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Number of full-time billable consultants</w:t>
            </w: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5"/>
                <w:szCs w:val="15"/>
                <w:color w:val="auto"/>
              </w:rPr>
              <w:t>(5)</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Average number of full-time billable consultants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(for the period) </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5"/>
                <w:szCs w:val="15"/>
                <w:color w:val="auto"/>
              </w:rPr>
              <w:t>(5)</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1,405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5"/>
                <w:szCs w:val="15"/>
                <w:color w:val="auto"/>
              </w:rPr>
              <w:t>(5)</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Operating Data (continued):</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5"/>
                <w:szCs w:val="15"/>
                <w:b w:val="1"/>
                <w:bCs w:val="1"/>
                <w:color w:val="auto"/>
              </w:rPr>
              <w:t>(3)</w:t>
            </w: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5"/>
                <w:szCs w:val="15"/>
                <w:color w:val="auto"/>
              </w:rPr>
              <w:t>(5)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265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368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337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5"/>
                <w:szCs w:val="15"/>
                <w:color w:val="auto"/>
              </w:rPr>
              <w:t>(5)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190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388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 (in thousands):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5"/>
                <w:szCs w:val="15"/>
                <w:color w:val="auto"/>
              </w:rPr>
              <w:t>(5)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429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43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13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7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January 1, 2013, a group within the Huron Healthcare segment that provides post-implementation services that was previously classified as full-time equivalents is now classified as full-time billable consultants due to the evolving nature of the services that they offer. Prior periods have been revised to reflect this change.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6"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174,735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161,888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2"/>
              </w:rPr>
              <w:t>509,178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2"/>
              </w:rPr>
              <w:t>445,196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17,161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10,416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44,344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17,308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12,531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33,532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and other expenses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5,643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5,666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16,631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Earnings before interest, taxes, depreciation and amortization (EBITDA)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99,642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Add back:</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Restatement related expenses</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Litigation settlement (gain) loss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Goodwill impairment charge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13,083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31,462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41,575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93,788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2013</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44,344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22,873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22,326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22,712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22,247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Restatement related expenses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Litigation settlement (gain) loss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(6,450)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impairment charge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Tax effect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(6,840)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adjustments, net of tax</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10,428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14,845</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20,844</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43,440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0.93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17"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consisted of severance charges, costs associated with office space reductions including the accelerated depreciation of certain leasehold improvements, and the write-off of certain impaired intangible assets.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 excluded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these restatement related expenses from our non-GAAP measures as a means to provide comparability with periods that were not impacted by the restatement related expenses.</w:t>
      </w:r>
    </w:p>
    <w:p>
      <w:pPr>
        <w:spacing w:after="0" w:line="73"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i w:val="1"/>
          <w:iCs w:val="1"/>
          <w:color w:val="auto"/>
        </w:rPr>
        <w:t xml:space="preserve">Litigation settlement (gain) loss: </w:t>
      </w:r>
      <w:r>
        <w:rPr>
          <w:rFonts w:ascii="Arial" w:cs="Arial" w:eastAsia="Arial" w:hAnsi="Arial"/>
          <w:sz w:val="18"/>
          <w:szCs w:val="18"/>
          <w:color w:val="auto"/>
        </w:rPr>
        <w:t>We have excluded the effect of the litigation settlements to permit comparability with periods that were not</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these items.</w:t>
      </w:r>
    </w:p>
    <w:p>
      <w:pPr>
        <w:spacing w:after="0" w:line="62"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We have excluded the effect of amortization of intangible assets from the calculation of Adjusted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continuing operations presented above. Amortization of intangibles is inconsistent in its amount and frequency and is significantly affected by the timing and size of our acquisitions.</w:t>
      </w:r>
    </w:p>
    <w:p>
      <w:pPr>
        <w:spacing w:after="0" w:line="7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i w:val="1"/>
          <w:iCs w:val="1"/>
          <w:color w:val="auto"/>
        </w:rPr>
        <w:t>Goodwill impairment charges</w:t>
      </w:r>
      <w:r>
        <w:rPr>
          <w:rFonts w:ascii="Arial" w:cs="Arial" w:eastAsia="Arial" w:hAnsi="Arial"/>
          <w:sz w:val="18"/>
          <w:szCs w:val="18"/>
          <w:color w:val="auto"/>
        </w:rPr>
        <w:t>: We have excluded the effects of goodwill impairment charges to permit comparability with periods that were not</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such charges.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Compared to Three Months Ended September 30,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$12.8 million, or 7.9%, to $174.7 million for the third quarter of 2013 from $161.9 million for the third quarter of 2012.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overall $12.8 million increase in revenues, $11.0 million was attributable to our full-time billable consultants, while $1.8 million was attributable to our full-time equivalents. The increase in full-time billable consultant revenues was driven by an increase in the average number of billable consultants, partially offset by a decrease in the average billing rate. The increase primarily reflected strengthened demand for our services in the Huron Healthcare segment. The increase in full-time equivalent revenue was primarily attributable to an increase in the revenues per full-time equivalent, partially offset by a decrease in the average number of full-time equivalents. Revenue attributable to full-time equivalents primarily reflected increased use of contractors in the Huron Education and Life Sciences and Huron Healthcare segments, partially offset by decreased demand for our document review services in the Huron Legal segment.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total direct costs increased $16.7 million, or 18.5%, to $106.8 million in the three months ended September 30, 2013, from $90.1 million in the three months ended September 30, 2012. The increase was primarily related to a $19.9 million increase in salaries, bonuses, and related expenses for our revenue-generating professionals, partially offset by a $2.4 million decrease in contractor expense and a $0.6 million decrease in technology expense. As a percentage of revenues, our total direct costs increased to 61.1% during the third quarter of 2013 compared to 55.6% during the third quarter of 2012. This primarily reflected an increase in salaries, bonuses, and related expenses for our revenue-generating professionals as a percentage of revenues during the third quarter of 2013, partially offset by the decrease in contractor expense and technology expense.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Total direct costs for the three months ended September 30, 2013 included $2.8 million of share-based compensation expense and $0.7 million of amortization expense for intangible assets and software development costs, primarily representing customer-related assets and software acquired in business combinations. Total direct costs for the three months ended September 30, 2012 included $1.8 million of share-based compensation expense and $0.8 million of intangible asset amortization expense. The increase in share-based compensation expense was primarily attributable to an increase in the number of awards expected to be earned based on 2013 performance compared to those that were expected to be earned, as of September 30, 2012, based on 2012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increased $6.1 million, or 19.6%, to $37.2 million in the third quarter of 2013 from $31.1 million in the third quarter of 2012. This increase was primarily related to a $4.1 million increase in salaries,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bonuses, and related expenses for our support personnel, a $1.4 million increase in practice administration and meetings expense, a $0.6 million increase in accounting, tax, and audit fees, and a $0.3 million increase in promotion and sponsorship expenses. These increases were partially offset by a $0.8 million decrease in facilities and other office related expenses. As a percentage of revenues, selling, general and administrative expenses increased to 21.3% during the third quarter of 2013 compared to 19.2% during the third quarter of 2012. This increase primarily reflected, as a percentage of revenue, an increase in salaries, bonuses, and related expenses for our support personnel, practice administration and meetings expenses, and accounting, tax, and audit fees, partially offset by the decrease in facilities and other office related expenses.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did not incur a restructuring expense during the third quarter of 2013. During the third quarter of 2012, we incurred $2.2 million in restructuring expense primarily related to the consolidation of office space in the Washington, D.C. area as a result of the AdamsGrayson acquisition, accelerated depreciation on leasehold improvements at our New York office location, which we relocated during the fourth quarter of 2012, and brokerage fees related to the execution of a sublease agreement for the New York office space.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settlement gain was $5.3 million for the third quarter of 2013. During the third quarter of 2013, we reached a settlement agreement to resolve a lawsuit brought by Huron, resulting in a gain of $5.3 million being recorded. We collected $2.6 million of the settlement amount during the fourth quarter of 2013, and we anticipate the remaining amount will be collected during the first quarter of 2014. The settlement receivable is recorded in Prepaid expenses and other current assets.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increased by $0.1 million to $5.0 million in the three months ended September 30, 2013, from $4.9 million in the three months ended September 30, 2012. Non-direct intangible asset amortization relates to non-competition agreements, certain customer relationships, and trade names acquired in connection with our acquisitions.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2012, we recorded a $13.1 million goodwill impairment charge related to our Huron Financial segment. See Note 5 “Goodwill and Intangible Assets” of this Quarterly Report on Form 10-Q for further discussion of the goodwill impairment charge.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income increased $10.5 million, or 51.3%, to $31.1 million in the third quarter of 2013 from $20.6 million in the third quarter of 2012. Operating margin, which is defined as operating income expressed as a percentage of revenues, increased to 17.8% in the three months ended September 30, 2013, compared to 12.7% in the three months ended September 30, 2012. The increase in operating margin was primarily attributable to the decrease in the goodwill impairment charge and the recognition of the litigation settlement gain during the third quarter of 2013, as well as decreases in contractor expense, restructuring expense, and facilities and other office related expenses. These increases in the operating margin were partially offset by the increases in salaries, bonuses, and related expenses for both our revenue-generating professionals and our support personnel as a percentage of revenue during the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decreased by $0.8 million to $1.4 million in the third quarter of 2013 from $2.2 million in the third quarter of 2012. The decrease was primarily attributable to a $0.8 million, or 33.8%, decrease in interest expense in the third quarter of 2013, which was the result of a decrease in our borrowing levels combined with lower interest rates.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third quarter of 2013, we recognized income tax expense from continuing operations of $12.5 million on income from continuing operations of $29.7 million. For the third quarter of 2012, we recognized income tax expense from continuing operations of $8.0 million on income from continuing operations of $18.4 million. Our effective tax rate for the third quarter of 2013 was 42.2% compared with 43.4% in 2012. The effective tax rate for both periods was higher than the statutory rate, inclusive of state income taxes, due primarily to the impact of foreign losses with no tax benefit and certain non-deductible business expenses, partially offset by certain credits and deductions.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from continuing operations was $17.2 million for the three months ended September 30, 2013, compared to net income from continuing operations of $10.4 million for the same period last year. The increase in net income from continuing operations was primarily due to the increase in operating income, as discussed above, partially offset by the corresponding increase in income tax expense. As a result of the increase in net income from continuing operations, diluted earnings per share from continuing operations for the third quarter of 2013 was $0.75 compared to diluted earnings per share from continuing operations of $0.47 for the third quarter of 2012.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increased $10.6 million to $36.8 million for the three months ended September 30, 2013, from $26.2 million for the three months ended September 30, 2012. Adjusted EBITDA decreased $10.1 million to $31.5 million in the third quarter of 2013 from $41.6 million in the third quarter of 2012. The increase in EBITDA was primarily due to the decrease in goodwill impairment charge and the recognition of the litigation settlement gain, partially offset by the decrease in segment operating income, as discussed below in Segment Results. Adjusted EBITDA was lower in the third quarter of 2013 due to the decrease in segment operating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net income from continuing operations was $14.8 million in the third quarter of 2013 compared to $20.8 million in the third quarter of 2012. The decrease was primarily attributable to the decrease in segment operating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Healthcare segment revenues increased $12.0 million, or 15.9%, to $87.0 million for the third quarter of 2013 from $75.0 million for the third quarter of 2012. Revenues from time-and-expense engagements, fixed-fee engagements, performance-based arrangements, and software support and maintenance arrangements represented 1.6%, 67.1%, 25.9%, and 5.4%, respectively, of this segment’s revenues during the three months ended September 30, 2013, compared to 1.4%, 57.4%, 35.9%, and 5.3%, respectively, for the comparable period in 2012.</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overall $12.0 million increase in revenues, $10.8 million was attributable to our full-time billable consultants and $1.2 million was attributable to our full-time equivalents. The increase in demand for our services reflected the increased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and consultant utilization rate, partially offset by a decrease in the average billing rate. Performance-based fee revenues were $22.5 million during the third quarter of 2013 compared to $26.9 million during the third quarter of 2012. Performance-based fee engagements may cause significant variations in quarterly revenues, operating results and average billing rates due to the timing of achievement of the performance-based criteria.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Huron Healthcare segment operating income decreased $3.1 million, or 9.1%, to $30.8 million in the three months ended September 30, 2013, from $33.9 million in the three months ended September 30, 2012. The Huron Healthcare segment operating margin, defined as segment operating income expressed as a percentage of segment revenues, decreased to 35.4% for the third quarter of 2013 from 45.2% in the same period last year. The decrease in this segment’s operating margin was primarily attributable to an increase in bonus expense for our revenue-generating professionals as a percentage of revenues, partially offset by decreases in severance expense and contractor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Legal segment revenues decreased $0.9 million, or 1.9%, to $45.3 million for the third quarter of 2013 from $46.2 million for the third quarter of 2012. Revenues from time-and-expense engagements, fixed-fee engagements, and support and maintenance arrangements represented 95.9%, 3.4%, and 0.7%, respectively, of this segment’s revenues during the three months ended September 30, 2013, compared to 95.9%, 3.8%, and 0.3%, respectively, of this segment’s revenues for the comparable period in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overall $0.9 million decrease in revenues, $1.8 million was attributable to a decrease in revenue generated by our full-time equivalents, partially offset by a $0.9 million increase in revenue generated by our full-time billable consultants. The decrease in revenue attributable to our full-time equivalents was the result of a decrease in the average number of full-time equivalents, partially offset by an increase in revenue per full-time equivalent. The increase in full-time billable consultant revenue reflected an increase in the average number of full-time billable consultants and average billing rate, partially offset by a decrease in the consultant utilization rate.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Huron Legal segment operating income increased by $3.6 million, or 31.9%, to $15.1 million in the three months ended September 30, 2013, from $11.5 million in the three months ended September 30, 2012. Segment operating margin increased to 33.4% for the third quarter of 2013 from 24.9% in the same period last year. The increase in this segment’s operating margin was primarily attributable to a decrease in contractor expense as a percentage of revenues. Decreases in restructuring expense, technology expense, and rent expense as percentages of revenues also contributed to the increase in operating margin, partially offset by increases in salaries and related expenses for both our revenue-generating professionals and support personnel.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Education and Life Sciences segment revenues increased $0.9 million, or 2.8%, to $34.8 million for the third quarter of 2013 from $33.9 million for the third quarter of 2012. Revenues from time-and-expense engagements, fixed-fee engagements, and software support and maintenance arrangements represented 84.3%, 11.6%, and 4.1%, respectively, of this segment’s revenues during the three months ended September 30, 2013, compared to 82.1%, 14.2%, and 3.7%, respectively, for the comparable period in 2012.</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the overall $0.9 million increase in revenues, $2.0 million was attributable to an increase in revenue generated by our full-time equivalents, partially offset by a $1.1 million decrease in revenue generated by our full-time billable consultants. The overall increase in demand for our services in the Huron Education and Life Sciences segment reflected the increased competitive pressures faced by our clients as the result of increased regulation, rising costs, and declining funding. The decrease in revenue from our full-time billable consultants reflected a decrease in the consultant utilization rate, partially offset by an increase in the average number of full-time billable consultants. The increase in revenue attributable to our full-time equivalents was driven by an increase in the average number of full-time equivalents, partially offset by a decrease in revenue per full-time equivalent.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Huron Education and Life Sciences segment operating income decreased $4.6 million, or 37.3%, to $7.8 million in the three months ended September 30, 2013, from $12.4 million in the three months ended September 30, 2012. The Huron Education and Life Sciences segment operating margin decreased to 22.3% for the third quarter of 2013 from 36.6% in the same period last year. The decrease in this segment’s operating margin was primarily attributable to increases in salaries and related expenses for both our revenue-generating professionals and support personnel and contractor expense as percentages of revenues. Increases in practice administration and meetings expense, severance expense, and promotion and sponsorship expense as percentages of revenue also contributed to the decrease in operating margin, partially offset by a decrease in bonus expense for our revenue-generating professionals.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Financial segment revenues increased $0.5 million, or 8.0%, to $7.2 million for the third quarter of 2013 from $6.7 million for the third quarter of 2012. Revenues from time-and-expense engagements, fixed-fee engagements, and performance-based arrangements represented 71.4%, 22.0%, and 6.6%, respectively, of this segment’s revenues during the third quarter of 2013 compared to 70.1%, 26.2%, and 3.7%, respectively, for the comparable period in 2012.</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overall $0.5 million increase in revenues was attributable to our full-time billable consultants and reflected a higher consultant utilization rate, partially offset by decreases in the average billing rate and average number of full-time billable consultants. The overall increase in revenues is attributable to an increase in demand for our restructuring and turnaround and operational improvement consulting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Huron Financial segment operating income decreased by $1.1 million, or 62.3%, to $0.7 million in the three months ended September 30, 2013, compared to $1.8 million in the three months ended September 30, 2012. Segment operating margin decreased to 9.2% for the third quarter of 2013 from 26.4% in the same period last year. The decrease in this segment’s operating margin was primarily attributable to an increase in bonus expense for our revenue-generating professionals as a percentage of revenues, partially offset by a decrease in salaries and related expenses for our revenue-generating professionals as a percentage of revenues.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2013 Compared to Nine Months Ended September 30,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Revenues increased $64.0 million, or 14.4%, to $509.2 million for the first nine months of 2013 from $445.2 million for the first nine months of 2012.</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 the $64.0 million increase in revenues, $57.6 million was attributable to our full-time billable consultants and $6.4 million was attributable to our full-time equivalents. The increase in full-time billable consultant revenues was driven by increases in the average number of billable consultants, our average billing rate, and our consultant utilization rate. The increase primarily reflected strengthened demand for our services in the Huron Healthcare, Huron Education and Life Sciences and Huron Financial segments, partially offset by a decrease in demand for our advisory services in the Huron Legal segment. The increase in full-time equivalent revenue was attributable to increases in the average number of full-time equivalents and revenue per full-time equivalent. Revenue attributable to full-time equivalents reflected increased use of contractors in the Huron Education and Life Sciences, Huron Healthcare and Huron Financial segments, partially offset by decreased demand for our document review services in the Huron Legal segment.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direct costs increased $36.1 million, or 12.8%, to $317.1 million in the nine months ended September 30, 2013, from $281.0 million in the nine months ended September 30, 2012. The increase was primarily related to a $45.3 million increase in salaries, bonuses, and related expenses for our revenue-generating professionals, partially offset by a $7.0 million decrease in contractor expense, a $1.2 million decrease in technology expense, and a $1.2 million decrease in intangible asset amortization expense. As a percentage of revenues, our total direct costs decreased to 62.3% during the first nine months of 2013 compared to 63.1% during the first nine months of 2012. This primarily reflected the decrease in contractor expense, technology expense, and intangible asset amortization expense, partially offset by the increase in bonus expense for our revenue-generating professionals as a percentage of revenues during the first nine months of 2013.</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Total direct costs for the nine months ended September 30, 2013 included $9.7 million of share-based compensation expense compared to $8.2 million of share-based compensation during the same period last year. The increase in share-based compensation expense was primarily driven by an increase in the number of awards expected to be earned based on 2013 performance compared to those that were expected to be earned, as of September 30, 2012, based on 2012 performance. As discussed in Note 2 “Basis of Presentation” under “Part I — Item 1. Consolidated Financial Statements” of this Quarterly Report on Form 10-Q, in the second quarter of 2013, we identified a $1.1 million error in stock-based compensation expense resulting from the use of the straight-line attribution method for performance awards with graded vesting features granted in prior periods. The $1.1 million pretax adjustment, which represents the cumulative error related to all prior period financial statements beginning with the first quarter of 2010 through the first quarter of 2013, resulted in a $0.9 million increase in Direct costs and a $0.2 million increase in Selling, general and administrative expense. After consideration of both quantitative and qualitative factors, we concluded that our previously issued annual and quarterly financial statements for the years 2010, 2011, 2012 and the first quarter of 2013 were not materially misstated, and the effect of recognizing this adjustment during the second quarter of 2013 was not material for the period then ended and is not expected to be material for the full year 2013 results.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direct costs for the first nine months of 2013 also included $2.0 million of amortization expense for intangible assets and software development costs, primarily representing customer-related assets and software acquired in business combinations, compared to $3.1 million of intangible asset amortization expense for the first nine months of 2012. The decrease in intangible asset amortization expense was primarily attributable to certain intangible assets that became fully amortized during the third quarter of 2012, partially offset by the amortization of intangible assets acquired during the second half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increased $7.9 million, or 8.5%, to $100.3 million in the first nine months of 2013 from $92.4 million in the first nine months of 2012. This increase was primarily related to an $8.1 million increase in salaries, bonuses, and related expenses for our support personnel, a $1.2 million increase in practice administration and meetings expenses, a $0.8 million increase in accounting, tax, and audit fees, and a $0.6 million increase in computer equipment and software license expenses. These increases were partially offset by a $1.8 million decrease in facilities and other office related expenses, a $1.0 million decrease in legal expenses, and a $0.7 million decrease in training costs. As a percentage of revenues, selling, general and administrative expenses decreased to 19.7% during the first nine months of 2013 compared to 20.8% during the first nine months of 2012. This decrease primarily reflected the decreases in facilities and other office related expenses, legal expenses, and training costs, as well as our revenue growth that outpaced the growth in promotion and sponsorship expenses during the first nine months of 2013, partially offset by an increase in bonus expense for our support personnel as a percentage of revenues.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first nine months of 2013, we recorded a $0.6 million restructuring expense related to the consolidation of office space in the Washington, D.C. area. This office space was acquired in the AdamsGrayson acquisition that occurred in the second half of 2012. During the first nine months of 2012, we recorded $3.3 million in restructuring expense, primarily consisting of accelerated depreciation on leasehold improvements at our New York office location, which we relocated during the fourth quarter of 2012, brokerage fees related to the execution of a sublease arrangement for this space, and charges related to the consolidation of additional office space in the Washington, D.C. area, also as a result of the AdamsGrayson acquisition. These charges during the first nine months of 2012 were partially offset by the net favorable impact of updated assumptions for lease accruals related to previously vacated office spaces. See Note 8 “Restructuring Charges” in this Quarterly Report on Form 10-Q, for further discussion of our restructuring expense.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incur restatement related expenses during the first nine months of 2013. During the first nine months of 2012, we incurred $1.8 million of restatement related expenses, primarily consisting of legal fees.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recorded litigation settlement gains of $6.5 million for the nine months ended September 30, 2013, compared to litigation settlement loss of $1.2 million during the same period last year. During the third quarter of 2013, we reached a settlement agreement to resolve a lawsuit brought by Huron, resulting in a gain of $5.3 million being recorded. We collected $2.6 million of the settlement amount during the fourth quarter of 2013, and we anticipate the remaining amount will be collected during the first quarter of 2014. During the second quarter of 2012, we conducted preliminary settlement discussions with the relator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discussed in “Legal Proceedings” and in Note 13 “Commitments, Contingencies and Guarantees,” and as a result, we recorded a charge of $1.2 million, in accordance with FASB ASC Topic 450, “Contingencies.” On March 8, 2013, the Court granted Huron’s motion for summary judgment and dismissed the relator’s second amended complaint in its entirety with prejudice. As a result, during the first quarter of 2013, we reversed the charge of $1.2 million taken during 2012.</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increased by $1.0 million to $14.6 million in the nine months ended September 30, 2013, from $13.6 million in the nine months ended September 30, 2012. The increase was primarily related to the depreciation of servers and network equipment placed into service in the fourth quarter of 2012 and first half of 2013 and amortization of intangible assets acquired during the second half of 2012, partially offset by certain intangible assets that became fully amortized during the second half of 2012. Non-direct intangible asset amortization relates to customer relationships, non-competition agreements and trade names acquired in connection with our acquisitions.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2012, we recorded a $13.1 million goodwill impairment charge related to our Huron Financial segment. See Note 5 “Goodwill and Intangible Assets” of this Quarterly Report on Form 10-Q for further discussion of the goodwill impairment charge.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income increased $44.1 million, or 113.4%, to $83.0 million in the first nine months of 2013 from $38.9 million in the first nine months of 2012. Operating margin, which is defined as operating income expressed as a percentage of revenues, increased to 16.3% in the nine months ended September 30, 2013, compared to 8.7% in the nine months ended September 30, 2012. This increase was primarily attributable to the decreases in contractor expense, facilities and other office related expenses, restructuring expense, restatement related expenses, technology expense, and intangible asset amortization expense, partially offset by an increase in bonus expense for both our revenue-generating professionals and our support personnel as a percentage of revenue during the first nine months of 2013. The operating margin for the first nine months of 2013 was also favorably impacted by the litigation settlement gains in the period, while the operating margin in the first nine months of 2012 was negatively impacted by the goodwill impairment charge and litigation settlement loss in that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decreased $0.8 million, or 12.8%, to $5.1 million in the first nine months of 2013 from $5.9 million in the first nine months of 2012. The decrease was primarily attributable to a $1.1 million, or 17.6%, decrease in interest expense in the first nine months of 2013, which was the result of a decrease in our borrowing levels combined with lower interest rates during the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nine months of 2013, we recognized income tax expense from continuing operations of $33.5 million on income from continuing operations of $77.9 million. For the first nine months of 2012, we recognized income tax expense from continuing operations of $15.7 million on income from continuing operations of $33.0 million. Our effective tax rate for the first nine months of 2013 was 43.1% compared with 47.6% in 2012. The effective tax rate during the first nine months of 2013 was higher than the statutory rate, inclusive of state income taxes, due primarily to the impact of foreign losses with no tax benefit and certain non-deductible business expenses, partially offset by the impact of certain credits and deductions. The effective tax rate in the first nine months of 2012 was higher than the statutory rate, inclusive of state income taxes, primarily due to the impact of foreign losses with no tax benefit, partially offset by the release of reserves for uncertain tax positions. The foreign losses with no tax benefit and the non-deductible expenses had a larger impact on our effective tax rate in the first nine months of 2012 compared to 2013 due to the lower pretax income from continuing operations in the first nine months of 2012.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from continuing operations was $44.3 million for the nine months ended September 30, 2013, compared to net income from continuing operations of $17.3 million for the same period last year. The increase in net income from continuing operations was primarily due to the increase in operating income, as discussed above, partially offset by the corresponding increase in income tax expense. As a result of the increase in net income from continuing operations, diluted earnings per share from continuing operations for the first nine months of 2013 was $1.95 compared to diluted earnings per share from continuing operations of $0.78 for the first nine months of 2012.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increased $44.0 million to $99.6 million for the nine months ended September 30, 2013, from $55.6 million for the nine months ended September 30, 2012. Adjusted EBITDA increased $19.0 million to $93.8 million in the first nine months of 2013 from $74.8 million in the same period last year. The increase in EBITDA was primarily driven by the increases in segment operating income of our Huron Healthcare, Huron Financial and Huron Education and Life Sciences segments, partially offset by the decrease in segment operating income of our Huron Legal segment, as discussed below in Segment Results. The increase in EBITDA was also due to the decrease in goodwill impairment charge and increase in litigation settlement gains. The increase in Adjusted EBITDA was primarily due to the increase in segment operating income.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net income from continuing operations was $43.4 million in the first nine months of 2013 compared to $32.0 million in the first nine months of 2012. The increase was primarily attributable to the increase in segment operating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Huron Healthcare segment revenues increased $43.4 million, or 21.6%, to $244.6 million for the first nine months of 2013 from $201.2 million for the first nine months of 2012. Revenues from time-and-expense engagements, fixed-fee engagements, performance-based arrangements, and software support and maintenance arrangements represented 1.6%, 69.2%, 24.1%, and 5.1%, respectively, of this segment’s revenues during the nine months ended September 30, 2013, compared to 1.2%, 64.8%, 28.0%, and 6.0%, respectively, for the comparable period in 2012.</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 the overall $43.4 million increase in revenues, $41.7 million was attributable to our full-time billable consultants and $1.7 million was attributable to our full-time equivalents. The increase in demand for our services reflected the increased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consultant utilization rate, and average billing rate. Performance-based fee revenues were $59.0 million during the first nine months of 2013 compared to $56.3 million during the first nine months of 2012. Performance-based fee engagements may cause significant variations in quarterly revenues, operating results and average billing rates due to the timing of achievement of the performance-based criteria. With regard to our full-time equivalents, this segment experienced an increase in revenue per full-time equivalent, partially offset by a decrease in the average number of full-time equivalents during the first nine months of 2013 compared to the same period of 2012.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Huron Healthcare segment operating income increased $21.6 million, or 31.0%, to $91.4 million in the nine months ended September 30, 2013, from $69.8 million in the nine months ended September 30, 2012. The Huron Healthcare segment operating margin, defined as segment operating income expressed as a percentage of segment revenues, increased to 37.4% for the first nine months of 2013 from 34.7% in the same period last year. The increase in this segment’s operating margin was primarily attributable to revenue growth that outpaced the increase in salaries and related expenses for our revenue generating professionals, as well as decreases in technology expense, legal expense, intangible asset amortization expense, contractor expense, and severance expense, partially offset by an increase in bonus expense for our revenue-generating professionals as a percentage of revenues.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Legal segment revenues decreased $2.1 million, or 1.6%, to $131.3 million for the first nine months of 2013 from $133.4 million for the first nine months of 2012. Revenues from time-and-expense engagements, fixed-fee engagements, and software support and maintenance arrangements represented 95.3%, 4.2%, and 0.5%, respectively, of this segment’s revenues during the nine months ended September 30, 2013, compared to 95.8%, 4.1%, and 0.1%, respectively, for the comparable period in 2012.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overall $2.1 million decrease in revenues, $1.2 million was attributable to our full-time billable consultants and $0.9 million was attributable to our full-time equivalents. The decrease in full-time billable consultant revenue reflected lower consultant utilization and average billing rates, slightly offset by an increase in the average number of full-time billable consultants. The decrease in revenue attributable to our full-time equivalents was driven by a decrease in revenue per full-time equivalent, partially offset by an increase in the average number of full-time equivalents.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Huron Legal segment operating income decreased by $4.6 million, or 13.8%, to $28.9 million in the nine months ended September 30, 2013, from $33.5 million in the nine months ended September 30, 2012. Segment operating margin decreased to 22.0% for the first nine months of 2013 from 25.1% in the same period last year. The decrease in this segment’s operating margin was primarily attributable to increases in salaries and related expenses for both our revenue-generating professionals and support personnel, as well as increases in technology expense and promotion and sponsorship expenses, largely offset by decreases in contractor expense, bonus expense for our revenue-generating professionals, and restructuring expense as percentages of revenues.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Education and Life Sciences segment revenues increased $14.3 million, or 15.3%, to $107.7 million for the first nine months of 2013 from $93.4 million for the first nine months of 2012. Revenues from time-and-expense engagements, fixed-fee engagements, and software support and maintenance arrangements represented 81.1%, 15.0%, and 3.9%, respectively, of this segment’s revenues during the nine months ended September 30, 2013, compared to 76.5%, 19.5%, and 4.0%, respectively, for the comparable period in 2012.</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overall $14.3 million increase in revenues, $9.3 million was attributable to our full-time billable consultants and $5.0 million was related to our full-time equivalents. The overall increase in demand for our services in the Huron Education and Life Sciences segment reflected the increased competitive pressures faced by our clients as the result of increased regulation, rising costs, and declining funding. The increase in revenues from our full-time billable consultants reflected increases in the average number of full-time billable consultants and the average billing rate, partially offset by a decrease in the consultant utilization rate. The increase in revenue attributable to our full-time equivalents was driven by an increase in the average number of full-time equivalents, partially offset by a decrease in revenue per full-time equivalent.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Huron Education and Life Sciences segment operating income increased $0.6 million, or 2.2%, to $28.7 million in the nine months ended September 30, 2013, from $28.1 million in the nine months ended September 30, 2012. The Huron Education and Life Sciences segment operating margin decreased to 26.6% for the first nine months of 2013 from 30.0% in the same period last year. The decrease in this segment’s operating margin was primarily attributable to increases in contractor expense, salaries and related expenses for our revenue-generating professionals, and practice administration and meetings expense, all as percentages of revenues, partially offset by decreases in bonus expense for our revenue-generating professionals and intangible asset amortization expense.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Financial segment revenues increased $8.3 million, or 49.0%, to $25.1 million for the first nine months of 2013 from $16.8 million for the first nine months of 2012. Revenues from time-and-expense engagements, fixed-fee engagements, and performance-based arrangements represented 77.1%, 19.0%, and 3.9%, respectively, of this segment’s revenues during the first nine months of 2013 compared to 73.9%, 24.6%, and 1.5%, respectively, for the comparable period in 2012.</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 the overall $8.3 million increase in revenues, $7.8 million was attributable to our full-time billable consultants and $0.5 million was attributable to our full-time equivalents. The increase in revenues from our full-time billable consultants reflected an increase in the consultant utilization rate and average billing rate, partially offset by a decrease in the average number of full-time billable consultants. The increase in revenue attributable to our full-time equivalents was driven by an increase in the average number of full-time equivalents, partially offset by a decrease in revenue per full-time equivalent. Performance-based fee revenues were $1.0 million during the first nine months of 2013 compared to $0.3 million during the first nine months of 2012. The overall increase in revenues is attributable to an increase in demand for our restructuring and turnaround and operational improvement consulting services. The increased demand within this segment is partially a result of the initiatives we undertook during 2012, including broadening our service offerings and increasing marketing efforts, which were intended to increase demand for our services and improve the segment’s financial performance.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Huron Financial segment operating income increased by $6.3 million to $8.0 million in the nine months ended September 30, 2013, compared to $1.7 million in the nine months ended September 30, 2012. Segment operating margin increased to 31.9% for the first nine months of 2013 from 9.9% in the same period last year. The increase in this segment’s operating margin was primarily attributable to a decrease in salaries and related expenses for both our revenue-generating professionals and support personnel and a decrease in promotion and sponsorship expense, partially offset by an increase in bonus expense for both our revenue-generating professionals and support personnel as a percentage of revenues.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increased $5.6 million, from $25.2 million at December 31, 2012 to $30.8 million at September 30, 2013. Our primary sources of liquidity are cash flows from operations and debt capacity available under our credit facility.</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6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Cash Flows (in thousands):</w:t>
            </w: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45,291</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42,850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90"/>
              <w:spacing w:after="0"/>
              <w:rPr>
                <w:sz w:val="20"/>
                <w:szCs w:val="20"/>
                <w:color w:val="auto"/>
              </w:rPr>
            </w:pPr>
            <w:r>
              <w:rPr>
                <w:rFonts w:ascii="Arial" w:cs="Arial" w:eastAsia="Arial" w:hAnsi="Arial"/>
                <w:sz w:val="18"/>
                <w:szCs w:val="18"/>
                <w:color w:val="auto"/>
                <w:w w:val="92"/>
              </w:rPr>
              <w:t>(16,291)</w:t>
            </w:r>
          </w:p>
        </w:tc>
        <w:tc>
          <w:tcPr>
            <w:tcW w:w="20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(68,745)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(23,358)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23,991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provided by operating activities totaled $45.3 million for the nine months ended September 30, 2013, and $42.9 million for the same period last year. Our operating assets and liabilities consist primarily of receivables from billed and unbilled services, accounts payable and accrued expenses, and accrued payroll and related benefits. The volume of services rendered and the related billings and timing of collections on those billings, as well as payments of our accounts payable and salaries, bonuses, and benefits to employees affect these account balances. The increase in cash provided by operations was primarily attributable to higher net income, lower bonus payments, and increased collections of receivables from clients during the first nine months of 2013 when compared with the first nine months of 2012, partially offset by an increase in unbilled services from clients and increased tax payments during the first nine months of 2013 when compared with the first nine months of 2012. The increase in unbilled services from clients was primarily driven by several large projects where the revenue recognized as of September 30, 2013 has outpaced the pre-established billing schedule. We expect to bill our remaining unbilled services on these projects in accordance with the billing schedule over the next two quarters.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investing activities was $16.3 million and $68.7 million for the nine months ended September 30, 2013 and 2012, respectively. The use of cash in the first nine months of 2013 primarily consisted of purchases of property and equipment of $14.4 million compared to $14.3 million for the same period last year. The use of cash in the first nine months of 2012 consisted of payments for businesses acquired in prior periods totaling $32.2 million. These payments for acquired businesses were primarily comprised of additional purchase consideration earned by the selling shareholders of businesses that we acquired based on the achievement of financial performance targets as specified in the related purchase agreements. During the first nine months of 2012, we also made payments of $21.6 million to the selling shareholders of newly acquired businesses. We estimate that the cash utilized for capital expenditures in 2013 will be approximately $20.0 million, primarily consisting of information technology related equipment and leasehold improvements to support continued growth of our document review and processing services, as well as information technology related equipment to support our corporate infrastructure.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was $23.4 million for the nine months ended September 30, 2013, compared to net cash provided by financing activities of $24.0 million for the same period last year. The increase in net cash used in financing activities for the first nine months of 2013 was primarily due to higher repayments, net of borrowings, under our credit facility during the period. Our financing activities during the first nine months of 2013 included $5.4 million of deferred acquisition payments related to prior year acquisitions. The use of cash in the first nine months of 2013 also included $1.2 million for payments for debt issue costs compared to $2.5 million for the same period last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and second amendments to the credit agreement dated as of August 31, 2012 and September 25, 2013, respectively (as amended and modified, the “2011 Credit Agreement”). The 2011 Credit Agreement replaced the previous Credit Agreement, dated as of June 7, 2006, and all subsequent amendments thereto, by and among the Company and the lenders therein. The second amendment to the credit agreement, which we entered into during the third quarter of 2013, extended the term of the 2011 Credit Agreement from August 31, 2017 to September 25, 2018, and provided for less restrictive covenants, among other things.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date of the second amendment to the credit agreement, the Term Loan had a principal amount outstanding of $181.3 million. This principal balance is subject to scheduled quarterly amortization payments equal to 6.9% of the principal balance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September 30, 2013, the Company has made all scheduled quarterly amortization payments as they have come due in accordance with the Term Loan.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3.00 to 1.00 as of September 30, 2013, as those ratios are defined therein, as well as a minimum net worth greater than $150 million. At September 30, 2013, we were in compliance with these financial covenants with a fixed charge coverage ratio of 4.14 to 1.00, a leverage ratio of 1.18 to 1.00, and net worth greater than $150 million. At December 31, 2012, we were also in compliance with these financial covenants.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borrowing capacity under the 2011 Credit Agreement is reduced by any outstanding letters of credit and payments under the Term Loan. At September 30, 2013, outstanding letters of credit totaled $4.8 million and are primarily used as security deposits for our office facilities. As of September 30, 2013, the unused borrowing capacity under the 2011 Credit Agreement was $242.7 million. Borrowings outstanding under this credit facility at September 30, 2013 totaled $175.0 million, all of which was under the Term Loan. These borrowings carried a weighted average interest rate of 2.0%, including the effect of the interest rate swaps described in Note 9 “Derivative Instruments and Hedging Activity.” During the first nine months of 2013, the average daily outstanding balance under our credit facility was $191.0 million. Borrowings outstanding at December 31, 2012 were $192.5 million and carried a weighted average interest rate of 2.5%. 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in our Annual Report on Form 10-K for the year ended December 31, 2012 for a discussion of certain risks and uncertainties related to the 2011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2012. There have been no significant changes in our contractual obligations since December 31, 2012 except as described below:</w:t>
      </w:r>
    </w:p>
    <w:p>
      <w:pPr>
        <w:spacing w:after="0" w:line="98" w:lineRule="exact"/>
        <w:rPr>
          <w:sz w:val="20"/>
          <w:szCs w:val="20"/>
          <w:color w:val="auto"/>
        </w:rPr>
      </w:pPr>
    </w:p>
    <w:p>
      <w:pPr>
        <w:ind w:left="780" w:right="20" w:hanging="324"/>
        <w:spacing w:after="0" w:line="277" w:lineRule="auto"/>
        <w:rPr>
          <w:sz w:val="20"/>
          <w:szCs w:val="20"/>
          <w:color w:val="auto"/>
        </w:rPr>
      </w:pPr>
      <w:r>
        <w:rPr>
          <w:rFonts w:ascii="Arial" w:cs="Arial" w:eastAsia="Arial" w:hAnsi="Arial"/>
          <w:sz w:val="18"/>
          <w:szCs w:val="18"/>
          <w:color w:val="auto"/>
        </w:rPr>
        <w:t>— During the first nine months of 2013, our long-term borrowings, including the current portion of long-term borrowings, decreased from $192.5 million as of December 31, 2012, to $175.0 million as of September 30, 2013.</w:t>
      </w:r>
    </w:p>
    <w:p>
      <w:pPr>
        <w:spacing w:after="0" w:line="102" w:lineRule="exact"/>
        <w:rPr>
          <w:sz w:val="20"/>
          <w:szCs w:val="20"/>
          <w:color w:val="auto"/>
        </w:rPr>
      </w:pPr>
    </w:p>
    <w:p>
      <w:pPr>
        <w:ind w:left="780" w:hanging="324"/>
        <w:spacing w:after="0" w:line="277" w:lineRule="auto"/>
        <w:rPr>
          <w:sz w:val="20"/>
          <w:szCs w:val="20"/>
          <w:color w:val="auto"/>
        </w:rPr>
      </w:pPr>
      <w:r>
        <w:rPr>
          <w:rFonts w:ascii="Arial" w:cs="Arial" w:eastAsia="Arial" w:hAnsi="Arial"/>
          <w:sz w:val="18"/>
          <w:szCs w:val="18"/>
          <w:color w:val="auto"/>
        </w:rPr>
        <w:t>— During the first nine months of 2013, our deferred acquisition payments related to certain businesses we have acquired decreased from $10.5 million as of December 31, 2012, to $5.1 million as of September 30,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Financial Accounting Standards Board (“FASB”) issued Accounting Standards Update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This guidance will be effective for the Company beginning in the first quarter of 2014. We do not expect the adoption of ASU 2013-11 to impact our consolidated financial statements.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of ASU 2013-05 to have a material impact on our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1, 2013, the Company completed its acquisition of the assets of Blue Stone International, LLC (“Blue Stone”), a provider of professional services supporting Oracle enterprise performance management, information management, and business intelligence solutions. Under the terms of the asset purchase agreement, the Company acquired substantially all of the assets and assumed certain liabilities of Blue Stone in exchange for $30 million in cash. The results of operations of Blue Stone will be included within the Huron Education and Life Sciences segment.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exposure to changes in interest rates is limited to borrowings under our bank credit facility, which has variable interest rates tied to the LIBOR, Federal Funds Rate, Prime Rate, or Eurodollar Rate. At September 30, 2013, we had borrowings outstanding totaling $175.0 million that carried a weighted average interest rate of 2.0% including the effect of the interest rate swaps described below. A hypothetical 100 basis point change in this interest rate would have a $1.0 million effect on our pretax income including the effect of the interest rate swaps described below.</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the impact of the above swap agreements, the effective interest rate on $76.3 million of our debt, which equals the notional amount of the swap agreements in effect at September 30, 2013, was 2.4%.</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4, 2013, we entered into a one-year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September 30, 2013.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2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2013. Based on this evaluation, our Chief Executive Officer and Chief Financial Officer have concluded that, as of September 30, 2013,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Control over Financial Reporting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September 30, 2013 that has materially affected, or is reasonably likely to materially affect, our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December 9, 2009, plaintiff, Associates Against Outlier Fraud, filed a first amended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alleging that false or fraudulent claims were knowingly submitted to the government. Once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recorded in the second quarter of 2012, in accordance with FASB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We continue to believe that the claims are without merit and intend to vigorously defend ourselves in this matter.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We believe the claims made by Tamalluk Business Development and its principal are without merit and intend to vigorously defend ourselves in this matter.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2012 Annual Report on Form 10-K for a complete description of the material risks we face.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2012 Omnibus Incentive Plan and our 2004 Omnibus Stock Plan, which was replaced by the 2012 Omnibus Incentive Plan, permit the netting of common stock upon vesting of restricted stock awards to satisfy individual tax withholding requirements. During the quarter ended September 30, 2013, we reacquired 3,738 shares of common stock with a weighted average fair market value of $47.93 as a result of such tax withholdings as presented in the table below. We do not have any publicly announced share repurchase plans or programs.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08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Total Number of</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408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Shares Withheld to</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08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Satisfy Employee</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Market Value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08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Tax Withholding</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Period</w:t>
            </w:r>
          </w:p>
        </w:tc>
        <w:tc>
          <w:tcPr>
            <w:tcW w:w="1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Requirements</w:t>
            </w:r>
          </w:p>
        </w:tc>
        <w:tc>
          <w:tcPr>
            <w:tcW w:w="14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Withheld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23"/>
        </w:trPr>
        <w:tc>
          <w:tcPr>
            <w:tcW w:w="4080" w:type="dxa"/>
            <w:vAlign w:val="bottom"/>
          </w:tcPr>
          <w:p>
            <w:pPr>
              <w:ind w:left="100"/>
              <w:spacing w:after="0"/>
              <w:rPr>
                <w:sz w:val="20"/>
                <w:szCs w:val="20"/>
                <w:color w:val="auto"/>
              </w:rPr>
            </w:pPr>
            <w:r>
              <w:rPr>
                <w:rFonts w:ascii="Arial" w:cs="Arial" w:eastAsia="Arial" w:hAnsi="Arial"/>
                <w:sz w:val="18"/>
                <w:szCs w:val="18"/>
                <w:color w:val="auto"/>
              </w:rPr>
              <w:t>July 2013</w:t>
            </w: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2,131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46.24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640" w:type="dxa"/>
            <w:vAlign w:val="bottom"/>
          </w:tcPr>
          <w:p>
            <w:pPr>
              <w:ind w:left="74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August 2013</w:t>
            </w:r>
          </w:p>
        </w:tc>
        <w:tc>
          <w:tcPr>
            <w:tcW w:w="17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995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50.94</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N/A</w:t>
            </w:r>
          </w:p>
        </w:tc>
      </w:tr>
      <w:tr>
        <w:trPr>
          <w:trHeight w:val="223"/>
        </w:trPr>
        <w:tc>
          <w:tcPr>
            <w:tcW w:w="4080" w:type="dxa"/>
            <w:vAlign w:val="bottom"/>
          </w:tcPr>
          <w:p>
            <w:pPr>
              <w:ind w:left="100"/>
              <w:spacing w:after="0"/>
              <w:rPr>
                <w:sz w:val="20"/>
                <w:szCs w:val="20"/>
                <w:color w:val="auto"/>
              </w:rPr>
            </w:pPr>
            <w:r>
              <w:rPr>
                <w:rFonts w:ascii="Arial" w:cs="Arial" w:eastAsia="Arial" w:hAnsi="Arial"/>
                <w:sz w:val="18"/>
                <w:szCs w:val="18"/>
                <w:color w:val="auto"/>
              </w:rPr>
              <w:t>September 2013</w:t>
            </w:r>
          </w:p>
        </w:tc>
        <w:tc>
          <w:tcPr>
            <w:tcW w:w="17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612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48.92</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6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3,738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47.93</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N/A</w:t>
            </w:r>
          </w:p>
        </w:tc>
      </w:tr>
      <w:tr>
        <w:trPr>
          <w:trHeight w:val="20"/>
        </w:trPr>
        <w:tc>
          <w:tcPr>
            <w:tcW w:w="40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43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exhibits are filed as part of this Quarterly Report on Form 10-Q.</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87"/>
        </w:trPr>
        <w:tc>
          <w:tcPr>
            <w:tcW w:w="900" w:type="dxa"/>
            <w:vAlign w:val="bottom"/>
          </w:tcPr>
          <w:p>
            <w:pPr>
              <w:spacing w:after="0"/>
              <w:rPr>
                <w:sz w:val="7"/>
                <w:szCs w:val="7"/>
                <w:color w:val="auto"/>
              </w:rPr>
            </w:pPr>
          </w:p>
        </w:tc>
        <w:tc>
          <w:tcPr>
            <w:tcW w:w="5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80"/>
              <w:spacing w:after="0"/>
              <w:rPr>
                <w:sz w:val="20"/>
                <w:szCs w:val="20"/>
                <w:color w:val="auto"/>
              </w:rPr>
            </w:pPr>
            <w:r>
              <w:rPr>
                <w:rFonts w:ascii="Arial" w:cs="Arial" w:eastAsia="Arial" w:hAnsi="Arial"/>
                <w:sz w:val="16"/>
                <w:szCs w:val="16"/>
                <w:b w:val="1"/>
                <w:bCs w:val="1"/>
                <w:color w:val="auto"/>
              </w:rPr>
              <w:t>Exhibit</w:t>
            </w:r>
          </w:p>
        </w:tc>
        <w:tc>
          <w:tcPr>
            <w:tcW w:w="57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here-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0"/>
              </w:rPr>
              <w:t>Furnished</w:t>
            </w:r>
          </w:p>
        </w:tc>
        <w:tc>
          <w:tcPr>
            <w:tcW w:w="6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840" w:type="dxa"/>
            <w:vAlign w:val="bottom"/>
          </w:tcPr>
          <w:p>
            <w:pPr>
              <w:spacing w:after="0"/>
              <w:rPr>
                <w:sz w:val="17"/>
                <w:szCs w:val="17"/>
                <w:color w:val="auto"/>
              </w:rPr>
            </w:pPr>
          </w:p>
        </w:tc>
        <w:tc>
          <w:tcPr>
            <w:tcW w:w="740" w:type="dxa"/>
            <w:vAlign w:val="bottom"/>
          </w:tcPr>
          <w:p>
            <w:pPr>
              <w:jc w:val="center"/>
              <w:ind w:left="79"/>
              <w:spacing w:after="0"/>
              <w:rPr>
                <w:sz w:val="20"/>
                <w:szCs w:val="20"/>
                <w:color w:val="auto"/>
              </w:rPr>
            </w:pPr>
            <w:r>
              <w:rPr>
                <w:rFonts w:ascii="Arial" w:cs="Arial" w:eastAsia="Arial" w:hAnsi="Arial"/>
                <w:sz w:val="16"/>
                <w:szCs w:val="16"/>
                <w:b w:val="1"/>
                <w:bCs w:val="1"/>
                <w:color w:val="auto"/>
                <w:w w:val="98"/>
              </w:rPr>
              <w:t>Filing</w:t>
            </w:r>
          </w:p>
        </w:tc>
        <w:tc>
          <w:tcPr>
            <w:tcW w:w="0" w:type="dxa"/>
            <w:vAlign w:val="bottom"/>
          </w:tcPr>
          <w:p>
            <w:pPr>
              <w:spacing w:after="0"/>
              <w:rPr>
                <w:sz w:val="1"/>
                <w:szCs w:val="1"/>
                <w:color w:val="auto"/>
              </w:rPr>
            </w:pPr>
          </w:p>
        </w:tc>
      </w:tr>
      <w:tr>
        <w:trPr>
          <w:trHeight w:val="213"/>
        </w:trPr>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Number</w:t>
            </w:r>
          </w:p>
        </w:tc>
        <w:tc>
          <w:tcPr>
            <w:tcW w:w="57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Exhibit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Ending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7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03"/>
        </w:trPr>
        <w:tc>
          <w:tcPr>
            <w:tcW w:w="900" w:type="dxa"/>
            <w:vAlign w:val="bottom"/>
          </w:tcPr>
          <w:p>
            <w:pPr>
              <w:ind w:left="80"/>
              <w:spacing w:after="0"/>
              <w:rPr>
                <w:sz w:val="20"/>
                <w:szCs w:val="20"/>
                <w:color w:val="auto"/>
              </w:rPr>
            </w:pPr>
            <w:r>
              <w:rPr>
                <w:rFonts w:ascii="Arial" w:cs="Arial" w:eastAsia="Arial" w:hAnsi="Arial"/>
                <w:sz w:val="16"/>
                <w:szCs w:val="16"/>
                <w:color w:val="auto"/>
              </w:rPr>
              <w:t>10.1</w:t>
            </w:r>
          </w:p>
        </w:tc>
        <w:tc>
          <w:tcPr>
            <w:tcW w:w="5720" w:type="dxa"/>
            <w:vAlign w:val="bottom"/>
          </w:tcPr>
          <w:p>
            <w:pPr>
              <w:ind w:left="180"/>
              <w:spacing w:after="0"/>
              <w:rPr>
                <w:sz w:val="20"/>
                <w:szCs w:val="20"/>
                <w:color w:val="auto"/>
              </w:rPr>
            </w:pPr>
            <w:r>
              <w:rPr>
                <w:rFonts w:ascii="Arial" w:cs="Arial" w:eastAsia="Arial" w:hAnsi="Arial"/>
                <w:sz w:val="16"/>
                <w:szCs w:val="16"/>
                <w:color w:val="auto"/>
                <w:w w:val="97"/>
              </w:rPr>
              <w:t>Amendment No. 2 to the Credit Agreement, dated as of September 25, 2013, by</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8-K</w:t>
            </w:r>
          </w:p>
        </w:tc>
        <w:tc>
          <w:tcPr>
            <w:tcW w:w="9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10.1</w:t>
            </w:r>
          </w:p>
        </w:tc>
        <w:tc>
          <w:tcPr>
            <w:tcW w:w="740" w:type="dxa"/>
            <w:vAlign w:val="bottom"/>
          </w:tcPr>
          <w:p>
            <w:pPr>
              <w:jc w:val="center"/>
              <w:ind w:left="79"/>
              <w:spacing w:after="0"/>
              <w:rPr>
                <w:sz w:val="20"/>
                <w:szCs w:val="20"/>
                <w:color w:val="auto"/>
              </w:rPr>
            </w:pPr>
            <w:r>
              <w:rPr>
                <w:rFonts w:ascii="Arial" w:cs="Arial" w:eastAsia="Arial" w:hAnsi="Arial"/>
                <w:sz w:val="16"/>
                <w:szCs w:val="16"/>
                <w:color w:val="auto"/>
                <w:w w:val="93"/>
              </w:rPr>
              <w:t>09/26/13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720" w:type="dxa"/>
            <w:vAlign w:val="bottom"/>
          </w:tcPr>
          <w:p>
            <w:pPr>
              <w:ind w:left="180"/>
              <w:spacing w:after="0"/>
              <w:rPr>
                <w:sz w:val="20"/>
                <w:szCs w:val="20"/>
                <w:color w:val="auto"/>
              </w:rPr>
            </w:pPr>
            <w:r>
              <w:rPr>
                <w:rFonts w:ascii="Arial" w:cs="Arial" w:eastAsia="Arial" w:hAnsi="Arial"/>
                <w:sz w:val="16"/>
                <w:szCs w:val="16"/>
                <w:color w:val="auto"/>
                <w:w w:val="95"/>
              </w:rPr>
              <w:t>and among Huron Consulting Group Inc., as the Borrower, certain subsidiaries as</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720" w:type="dxa"/>
            <w:vAlign w:val="bottom"/>
          </w:tcPr>
          <w:p>
            <w:pPr>
              <w:ind w:left="180"/>
              <w:spacing w:after="0"/>
              <w:rPr>
                <w:sz w:val="20"/>
                <w:szCs w:val="20"/>
                <w:color w:val="auto"/>
              </w:rPr>
            </w:pPr>
            <w:r>
              <w:rPr>
                <w:rFonts w:ascii="Arial" w:cs="Arial" w:eastAsia="Arial" w:hAnsi="Arial"/>
                <w:sz w:val="16"/>
                <w:szCs w:val="16"/>
                <w:color w:val="auto"/>
                <w:w w:val="98"/>
              </w:rPr>
              <w:t>Guarantors, the Lenders identified on the signature pages thereto, and Bank of</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5720" w:type="dxa"/>
            <w:vAlign w:val="bottom"/>
          </w:tcPr>
          <w:p>
            <w:pPr>
              <w:ind w:left="180"/>
              <w:spacing w:after="0"/>
              <w:rPr>
                <w:sz w:val="20"/>
                <w:szCs w:val="20"/>
                <w:color w:val="auto"/>
              </w:rPr>
            </w:pPr>
            <w:r>
              <w:rPr>
                <w:rFonts w:ascii="Arial" w:cs="Arial" w:eastAsia="Arial" w:hAnsi="Arial"/>
                <w:sz w:val="16"/>
                <w:szCs w:val="16"/>
                <w:color w:val="auto"/>
              </w:rPr>
              <w:t>America, N.A., as Administrative Agent for and on behalf of the Lenders.</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900" w:type="dxa"/>
            <w:vAlign w:val="bottom"/>
          </w:tcPr>
          <w:p>
            <w:pPr>
              <w:ind w:left="80"/>
              <w:spacing w:after="0"/>
              <w:rPr>
                <w:sz w:val="20"/>
                <w:szCs w:val="20"/>
                <w:color w:val="auto"/>
              </w:rPr>
            </w:pPr>
            <w:r>
              <w:rPr>
                <w:rFonts w:ascii="Arial" w:cs="Arial" w:eastAsia="Arial" w:hAnsi="Arial"/>
                <w:sz w:val="16"/>
                <w:szCs w:val="16"/>
                <w:color w:val="auto"/>
              </w:rPr>
              <w:t>31.1</w:t>
            </w:r>
          </w:p>
        </w:tc>
        <w:tc>
          <w:tcPr>
            <w:tcW w:w="5720" w:type="dxa"/>
            <w:vAlign w:val="bottom"/>
          </w:tcPr>
          <w:p>
            <w:pPr>
              <w:ind w:left="180"/>
              <w:spacing w:after="0"/>
              <w:rPr>
                <w:sz w:val="20"/>
                <w:szCs w:val="20"/>
                <w:color w:val="auto"/>
              </w:rPr>
            </w:pPr>
            <w:r>
              <w:rPr>
                <w:rFonts w:ascii="Arial" w:cs="Arial" w:eastAsia="Arial" w:hAnsi="Arial"/>
                <w:sz w:val="16"/>
                <w:szCs w:val="16"/>
                <w:color w:val="auto"/>
                <w:w w:val="96"/>
              </w:rPr>
              <w:t>Certification of the Chief Executive Officer, pursuant to Rule 13a-14(a)/15d-14(a),</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5720" w:type="dxa"/>
            <w:vAlign w:val="bottom"/>
          </w:tcPr>
          <w:p>
            <w:pPr>
              <w:ind w:left="180"/>
              <w:spacing w:after="0"/>
              <w:rPr>
                <w:sz w:val="20"/>
                <w:szCs w:val="20"/>
                <w:color w:val="auto"/>
              </w:rPr>
            </w:pPr>
            <w:r>
              <w:rPr>
                <w:rFonts w:ascii="Arial" w:cs="Arial" w:eastAsia="Arial" w:hAnsi="Arial"/>
                <w:sz w:val="16"/>
                <w:szCs w:val="16"/>
                <w:color w:val="auto"/>
              </w:rPr>
              <w:t>as adopted pursuant to Section 302 of the Sarbanes-Oxley Act of 2002.</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900" w:type="dxa"/>
            <w:vAlign w:val="bottom"/>
          </w:tcPr>
          <w:p>
            <w:pPr>
              <w:ind w:left="80"/>
              <w:spacing w:after="0"/>
              <w:rPr>
                <w:sz w:val="20"/>
                <w:szCs w:val="20"/>
                <w:color w:val="auto"/>
              </w:rPr>
            </w:pPr>
            <w:r>
              <w:rPr>
                <w:rFonts w:ascii="Arial" w:cs="Arial" w:eastAsia="Arial" w:hAnsi="Arial"/>
                <w:sz w:val="16"/>
                <w:szCs w:val="16"/>
                <w:color w:val="auto"/>
              </w:rPr>
              <w:t>31.2</w:t>
            </w:r>
          </w:p>
        </w:tc>
        <w:tc>
          <w:tcPr>
            <w:tcW w:w="5720" w:type="dxa"/>
            <w:vAlign w:val="bottom"/>
          </w:tcPr>
          <w:p>
            <w:pPr>
              <w:ind w:left="180"/>
              <w:spacing w:after="0"/>
              <w:rPr>
                <w:sz w:val="20"/>
                <w:szCs w:val="20"/>
                <w:color w:val="auto"/>
              </w:rPr>
            </w:pPr>
            <w:r>
              <w:rPr>
                <w:rFonts w:ascii="Arial" w:cs="Arial" w:eastAsia="Arial" w:hAnsi="Arial"/>
                <w:sz w:val="16"/>
                <w:szCs w:val="16"/>
                <w:color w:val="auto"/>
                <w:w w:val="96"/>
              </w:rPr>
              <w:t>Certification of the Chief Financial Officer, pursuant to Rule 13a-14(a)/15d-14(a),</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5720" w:type="dxa"/>
            <w:vAlign w:val="bottom"/>
          </w:tcPr>
          <w:p>
            <w:pPr>
              <w:ind w:left="180"/>
              <w:spacing w:after="0"/>
              <w:rPr>
                <w:sz w:val="20"/>
                <w:szCs w:val="20"/>
                <w:color w:val="auto"/>
              </w:rPr>
            </w:pPr>
            <w:r>
              <w:rPr>
                <w:rFonts w:ascii="Arial" w:cs="Arial" w:eastAsia="Arial" w:hAnsi="Arial"/>
                <w:sz w:val="16"/>
                <w:szCs w:val="16"/>
                <w:color w:val="auto"/>
              </w:rPr>
              <w:t>as adopted pursuant to Section 302 of the Sarbanes-Oxley Act of 2002.</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900" w:type="dxa"/>
            <w:vAlign w:val="bottom"/>
          </w:tcPr>
          <w:p>
            <w:pPr>
              <w:ind w:left="80"/>
              <w:spacing w:after="0"/>
              <w:rPr>
                <w:sz w:val="20"/>
                <w:szCs w:val="20"/>
                <w:color w:val="auto"/>
              </w:rPr>
            </w:pPr>
            <w:r>
              <w:rPr>
                <w:rFonts w:ascii="Arial" w:cs="Arial" w:eastAsia="Arial" w:hAnsi="Arial"/>
                <w:sz w:val="16"/>
                <w:szCs w:val="16"/>
                <w:color w:val="auto"/>
              </w:rPr>
              <w:t>32.1</w:t>
            </w:r>
          </w:p>
        </w:tc>
        <w:tc>
          <w:tcPr>
            <w:tcW w:w="5720" w:type="dxa"/>
            <w:vAlign w:val="bottom"/>
          </w:tcPr>
          <w:p>
            <w:pPr>
              <w:ind w:left="180"/>
              <w:spacing w:after="0"/>
              <w:rPr>
                <w:sz w:val="20"/>
                <w:szCs w:val="20"/>
                <w:color w:val="auto"/>
              </w:rPr>
            </w:pPr>
            <w:r>
              <w:rPr>
                <w:rFonts w:ascii="Arial" w:cs="Arial" w:eastAsia="Arial" w:hAnsi="Arial"/>
                <w:sz w:val="16"/>
                <w:szCs w:val="16"/>
                <w:color w:val="auto"/>
                <w:w w:val="98"/>
              </w:rPr>
              <w:t>Certification of the Chief Executive Officer, pursuant to 18 U.S.C. Section 1350,</w:t>
            </w:r>
          </w:p>
        </w:tc>
        <w:tc>
          <w:tcPr>
            <w:tcW w:w="6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X</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5720" w:type="dxa"/>
            <w:vAlign w:val="bottom"/>
          </w:tcPr>
          <w:p>
            <w:pPr>
              <w:ind w:left="180"/>
              <w:spacing w:after="0"/>
              <w:rPr>
                <w:sz w:val="20"/>
                <w:szCs w:val="20"/>
                <w:color w:val="auto"/>
              </w:rPr>
            </w:pPr>
            <w:r>
              <w:rPr>
                <w:rFonts w:ascii="Arial" w:cs="Arial" w:eastAsia="Arial" w:hAnsi="Arial"/>
                <w:sz w:val="16"/>
                <w:szCs w:val="16"/>
                <w:color w:val="auto"/>
              </w:rPr>
              <w:t>as adopted pursuant to Section 906 of the Sarbanes-Oxley Act of 2002.</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900" w:type="dxa"/>
            <w:vAlign w:val="bottom"/>
          </w:tcPr>
          <w:p>
            <w:pPr>
              <w:ind w:left="80"/>
              <w:spacing w:after="0"/>
              <w:rPr>
                <w:sz w:val="20"/>
                <w:szCs w:val="20"/>
                <w:color w:val="auto"/>
              </w:rPr>
            </w:pPr>
            <w:r>
              <w:rPr>
                <w:rFonts w:ascii="Arial" w:cs="Arial" w:eastAsia="Arial" w:hAnsi="Arial"/>
                <w:sz w:val="16"/>
                <w:szCs w:val="16"/>
                <w:color w:val="auto"/>
              </w:rPr>
              <w:t>32.2</w:t>
            </w:r>
          </w:p>
        </w:tc>
        <w:tc>
          <w:tcPr>
            <w:tcW w:w="5720" w:type="dxa"/>
            <w:vAlign w:val="bottom"/>
          </w:tcPr>
          <w:p>
            <w:pPr>
              <w:ind w:left="180"/>
              <w:spacing w:after="0"/>
              <w:rPr>
                <w:sz w:val="20"/>
                <w:szCs w:val="20"/>
                <w:color w:val="auto"/>
              </w:rPr>
            </w:pPr>
            <w:r>
              <w:rPr>
                <w:rFonts w:ascii="Arial" w:cs="Arial" w:eastAsia="Arial" w:hAnsi="Arial"/>
                <w:sz w:val="16"/>
                <w:szCs w:val="16"/>
                <w:color w:val="auto"/>
                <w:w w:val="95"/>
              </w:rPr>
              <w:t>Certification of the Chief Financial Officer, pursuant to 18 U.S.C. Section 1350, as</w:t>
            </w:r>
          </w:p>
        </w:tc>
        <w:tc>
          <w:tcPr>
            <w:tcW w:w="6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X</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5720" w:type="dxa"/>
            <w:vAlign w:val="bottom"/>
          </w:tcPr>
          <w:p>
            <w:pPr>
              <w:ind w:left="180"/>
              <w:spacing w:after="0"/>
              <w:rPr>
                <w:sz w:val="20"/>
                <w:szCs w:val="20"/>
                <w:color w:val="auto"/>
              </w:rPr>
            </w:pPr>
            <w:r>
              <w:rPr>
                <w:rFonts w:ascii="Arial" w:cs="Arial" w:eastAsia="Arial" w:hAnsi="Arial"/>
                <w:sz w:val="16"/>
                <w:szCs w:val="16"/>
                <w:color w:val="auto"/>
              </w:rPr>
              <w:t>adopted pursuant to Section 906 of the Sarbanes-Oxley Act of 2002.</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900" w:type="dxa"/>
            <w:vAlign w:val="bottom"/>
          </w:tcPr>
          <w:p>
            <w:pPr>
              <w:ind w:left="80"/>
              <w:spacing w:after="0"/>
              <w:rPr>
                <w:sz w:val="20"/>
                <w:szCs w:val="20"/>
                <w:color w:val="auto"/>
              </w:rPr>
            </w:pPr>
            <w:r>
              <w:rPr>
                <w:rFonts w:ascii="Arial" w:cs="Arial" w:eastAsia="Arial" w:hAnsi="Arial"/>
                <w:sz w:val="16"/>
                <w:szCs w:val="16"/>
                <w:color w:val="auto"/>
              </w:rPr>
              <w:t>101.INS</w:t>
            </w:r>
          </w:p>
        </w:tc>
        <w:tc>
          <w:tcPr>
            <w:tcW w:w="5720" w:type="dxa"/>
            <w:vAlign w:val="bottom"/>
          </w:tcPr>
          <w:p>
            <w:pPr>
              <w:ind w:left="180"/>
              <w:spacing w:after="0"/>
              <w:rPr>
                <w:sz w:val="20"/>
                <w:szCs w:val="20"/>
                <w:color w:val="auto"/>
              </w:rPr>
            </w:pPr>
            <w:r>
              <w:rPr>
                <w:rFonts w:ascii="Arial" w:cs="Arial" w:eastAsia="Arial" w:hAnsi="Arial"/>
                <w:sz w:val="16"/>
                <w:szCs w:val="16"/>
                <w:color w:val="auto"/>
              </w:rPr>
              <w:t>XBRL Instance Document</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ind w:left="80"/>
              <w:spacing w:after="0"/>
              <w:rPr>
                <w:sz w:val="20"/>
                <w:szCs w:val="20"/>
                <w:color w:val="auto"/>
              </w:rPr>
            </w:pPr>
            <w:r>
              <w:rPr>
                <w:rFonts w:ascii="Arial" w:cs="Arial" w:eastAsia="Arial" w:hAnsi="Arial"/>
                <w:sz w:val="16"/>
                <w:szCs w:val="16"/>
                <w:color w:val="auto"/>
              </w:rPr>
              <w:t>101.SCH</w:t>
            </w:r>
          </w:p>
        </w:tc>
        <w:tc>
          <w:tcPr>
            <w:tcW w:w="5720" w:type="dxa"/>
            <w:vAlign w:val="bottom"/>
          </w:tcPr>
          <w:p>
            <w:pPr>
              <w:ind w:left="180"/>
              <w:spacing w:after="0"/>
              <w:rPr>
                <w:sz w:val="20"/>
                <w:szCs w:val="20"/>
                <w:color w:val="auto"/>
              </w:rPr>
            </w:pPr>
            <w:r>
              <w:rPr>
                <w:rFonts w:ascii="Arial" w:cs="Arial" w:eastAsia="Arial" w:hAnsi="Arial"/>
                <w:sz w:val="16"/>
                <w:szCs w:val="16"/>
                <w:color w:val="auto"/>
              </w:rPr>
              <w:t>XBRL Taxonomy Extension Schema Document</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ind w:left="80"/>
              <w:spacing w:after="0"/>
              <w:rPr>
                <w:sz w:val="20"/>
                <w:szCs w:val="20"/>
                <w:color w:val="auto"/>
              </w:rPr>
            </w:pPr>
            <w:r>
              <w:rPr>
                <w:rFonts w:ascii="Arial" w:cs="Arial" w:eastAsia="Arial" w:hAnsi="Arial"/>
                <w:sz w:val="16"/>
                <w:szCs w:val="16"/>
                <w:color w:val="auto"/>
              </w:rPr>
              <w:t>101.CAL</w:t>
            </w:r>
          </w:p>
        </w:tc>
        <w:tc>
          <w:tcPr>
            <w:tcW w:w="572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ind w:left="80"/>
              <w:spacing w:after="0"/>
              <w:rPr>
                <w:sz w:val="20"/>
                <w:szCs w:val="20"/>
                <w:color w:val="auto"/>
              </w:rPr>
            </w:pPr>
            <w:r>
              <w:rPr>
                <w:rFonts w:ascii="Arial" w:cs="Arial" w:eastAsia="Arial" w:hAnsi="Arial"/>
                <w:sz w:val="16"/>
                <w:szCs w:val="16"/>
                <w:color w:val="auto"/>
              </w:rPr>
              <w:t>101.LAB</w:t>
            </w:r>
          </w:p>
        </w:tc>
        <w:tc>
          <w:tcPr>
            <w:tcW w:w="5720" w:type="dxa"/>
            <w:vAlign w:val="bottom"/>
          </w:tcPr>
          <w:p>
            <w:pPr>
              <w:ind w:left="180"/>
              <w:spacing w:after="0"/>
              <w:rPr>
                <w:sz w:val="20"/>
                <w:szCs w:val="20"/>
                <w:color w:val="auto"/>
              </w:rPr>
            </w:pPr>
            <w:r>
              <w:rPr>
                <w:rFonts w:ascii="Arial" w:cs="Arial" w:eastAsia="Arial" w:hAnsi="Arial"/>
                <w:sz w:val="16"/>
                <w:szCs w:val="16"/>
                <w:color w:val="auto"/>
              </w:rPr>
              <w:t>XBRL Taxonomy Extension Label Linkbase Document</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ind w:left="80"/>
              <w:spacing w:after="0"/>
              <w:rPr>
                <w:sz w:val="20"/>
                <w:szCs w:val="20"/>
                <w:color w:val="auto"/>
              </w:rPr>
            </w:pPr>
            <w:r>
              <w:rPr>
                <w:rFonts w:ascii="Arial" w:cs="Arial" w:eastAsia="Arial" w:hAnsi="Arial"/>
                <w:sz w:val="16"/>
                <w:szCs w:val="16"/>
                <w:color w:val="auto"/>
              </w:rPr>
              <w:t>101.PRE</w:t>
            </w:r>
          </w:p>
        </w:tc>
        <w:tc>
          <w:tcPr>
            <w:tcW w:w="5720" w:type="dxa"/>
            <w:vAlign w:val="bottom"/>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ind w:left="80"/>
              <w:spacing w:after="0"/>
              <w:rPr>
                <w:sz w:val="20"/>
                <w:szCs w:val="20"/>
                <w:color w:val="auto"/>
              </w:rPr>
            </w:pPr>
            <w:r>
              <w:rPr>
                <w:rFonts w:ascii="Arial" w:cs="Arial" w:eastAsia="Arial" w:hAnsi="Arial"/>
                <w:sz w:val="16"/>
                <w:szCs w:val="16"/>
                <w:color w:val="auto"/>
              </w:rPr>
              <w:t>101.DEF</w:t>
            </w:r>
          </w:p>
        </w:tc>
        <w:tc>
          <w:tcPr>
            <w:tcW w:w="572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c>
          <w:tcPr>
            <w:tcW w:w="680" w:type="dxa"/>
            <w:vAlign w:val="bottom"/>
          </w:tcPr>
          <w:p>
            <w:pPr>
              <w:jc w:val="center"/>
              <w:spacing w:after="0"/>
              <w:rPr>
                <w:sz w:val="20"/>
                <w:szCs w:val="20"/>
                <w:color w:val="auto"/>
              </w:rPr>
            </w:pPr>
            <w:r>
              <w:rPr>
                <w:rFonts w:ascii="Arial" w:cs="Arial" w:eastAsia="Arial" w:hAnsi="Arial"/>
                <w:sz w:val="16"/>
                <w:szCs w:val="16"/>
                <w:color w:val="auto"/>
              </w:rPr>
              <w:t>X</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675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 w:leader="none" w:pos="7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1672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14605</wp:posOffset>
            </wp:positionV>
            <wp:extent cx="2675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C. Mark Hussey</w:t>
      </w:r>
    </w:p>
    <w:p>
      <w:pPr>
        <w:spacing w:after="0" w:line="2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Officer and Treasurer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13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840" w:val="left"/>
          <w:tab w:leader="none" w:pos="5720" w:val="left"/>
          <w:tab w:leader="none" w:pos="7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878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14605</wp:posOffset>
            </wp:positionV>
            <wp:extent cx="2675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James H. Roth</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1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840" w:val="left"/>
          <w:tab w:leader="none" w:pos="5720" w:val="left"/>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878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14605</wp:posOffset>
            </wp:positionV>
            <wp:extent cx="2675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 Mark Hussey</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8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2013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92" w:lineRule="exact"/>
        <w:rPr>
          <w:sz w:val="20"/>
          <w:szCs w:val="20"/>
          <w:color w:val="auto"/>
        </w:rPr>
      </w:pPr>
    </w:p>
    <w:p>
      <w:pPr>
        <w:ind w:left="1140" w:hanging="56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tabs>
          <w:tab w:leader="none" w:pos="1040" w:val="left"/>
          <w:tab w:leader="none" w:pos="5840" w:val="left"/>
          <w:tab w:leader="none" w:pos="7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18783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26073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James H. Roth</w:t>
      </w:r>
    </w:p>
    <w:p>
      <w:pPr>
        <w:spacing w:after="0" w:line="2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8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2013 as filed with the Securities and Exchange Commission on the date hereof (the “Report”), I, C. Mark Hussey, Executive Vice President, Chief Financial Officer and Treasurer of the Company, hereby certify, pursuant to 18 U.S.C. Section 1350, as adopted pursuant to Section 906 of the Sarbanes-Oxley Act of 2002, that to the best of my knowledge:</w:t>
      </w:r>
    </w:p>
    <w:p>
      <w:pPr>
        <w:spacing w:after="0" w:line="92" w:lineRule="exact"/>
        <w:rPr>
          <w:sz w:val="20"/>
          <w:szCs w:val="20"/>
          <w:color w:val="auto"/>
        </w:rPr>
      </w:pPr>
    </w:p>
    <w:p>
      <w:pPr>
        <w:ind w:left="1140" w:hanging="565"/>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tabs>
          <w:tab w:leader="none" w:pos="1040" w:val="left"/>
          <w:tab w:leader="none" w:pos="5840" w:val="left"/>
          <w:tab w:leader="none" w:pos="7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1878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26073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 Mark Hussey</w:t>
      </w:r>
    </w:p>
    <w:p>
      <w:pPr>
        <w:spacing w:after="0" w:line="2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Officer and Treasurer</w:t>
      </w:r>
    </w:p>
    <w:p>
      <w:pPr>
        <w:spacing w:after="0" w:line="33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1"/>
    </w:lvl>
  </w:abstractNum>
  <w:abstractNum w:abstractNumId="13">
    <w:nsid w:val="8EDBDAB"/>
    <w:multiLevelType w:val="hybridMultilevel"/>
    <w:lvl w:ilvl="0">
      <w:lvlJc w:val="left"/>
      <w:lvlText w:val="%1."/>
      <w:numFmt w:val="decimal"/>
      <w:start w:val="12"/>
    </w:lvl>
  </w:abstractNum>
  <w:abstractNum w:abstractNumId="14">
    <w:nsid w:val="79838CB2"/>
    <w:multiLevelType w:val="hybridMultilevel"/>
    <w:lvl w:ilvl="0">
      <w:lvlJc w:val="left"/>
      <w:lvlText w:val="%1."/>
      <w:numFmt w:val="decimal"/>
      <w:start w:val="13"/>
    </w:lvl>
  </w:abstractNum>
  <w:abstractNum w:abstractNumId="15">
    <w:nsid w:val="4353D0CD"/>
    <w:multiLevelType w:val="hybridMultilevel"/>
    <w:lvl w:ilvl="0">
      <w:lvlJc w:val="left"/>
      <w:lvlText w:val="%1."/>
      <w:numFmt w:val="decimal"/>
      <w:start w:val="14"/>
    </w:lvl>
  </w:abstractNum>
  <w:abstractNum w:abstractNumId="16">
    <w:nsid w:val="B03E0C6"/>
    <w:multiLevelType w:val="hybridMultilevel"/>
    <w:lvl w:ilvl="0">
      <w:lvlJc w:val="left"/>
      <w:lvlText w:val="\emdash "/>
      <w:numFmt w:val="bullet"/>
      <w:start w:val="1"/>
    </w:lvl>
  </w:abstractNum>
  <w:abstractNum w:abstractNumId="17">
    <w:nsid w:val="189A769B"/>
    <w:multiLevelType w:val="hybridMultilevel"/>
    <w:lvl w:ilvl="0">
      <w:lvlJc w:val="left"/>
      <w:lvlText w:val="\emdash "/>
      <w:numFmt w:val="bullet"/>
      <w:start w:val="1"/>
    </w:lvl>
  </w:abstractNum>
  <w:abstractNum w:abstractNumId="18">
    <w:nsid w:val="54E49EB4"/>
    <w:multiLevelType w:val="hybridMultilevel"/>
    <w:lvl w:ilvl="0">
      <w:lvlJc w:val="left"/>
      <w:lvlText w:val="\emdash "/>
      <w:numFmt w:val="bullet"/>
      <w:start w:val="1"/>
    </w:lvl>
  </w:abstractNum>
  <w:abstractNum w:abstractNumId="19">
    <w:nsid w:val="71F32454"/>
    <w:multiLevelType w:val="hybridMultilevel"/>
    <w:lvl w:ilvl="0">
      <w:lvlJc w:val="left"/>
      <w:lvlText w:val="\emdash "/>
      <w:numFmt w:val="bullet"/>
      <w:start w:val="1"/>
    </w:lvl>
  </w:abstractNum>
  <w:abstractNum w:abstractNumId="20">
    <w:nsid w:val="2CA88611"/>
    <w:multiLevelType w:val="hybridMultilevel"/>
    <w:lvl w:ilvl="0">
      <w:lvlJc w:val="left"/>
      <w:lvlText w:val="\emdash "/>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5"/>
    </w:lvl>
  </w:abstractNum>
  <w:abstractNum w:abstractNumId="23">
    <w:nsid w:val="3A95F874"/>
    <w:multiLevelType w:val="hybridMultilevel"/>
    <w:lvl w:ilvl="0">
      <w:lvlJc w:val="left"/>
      <w:lvlText w:val="\emdash "/>
      <w:numFmt w:val="bullet"/>
      <w:start w:val="1"/>
    </w:lvl>
  </w:abstractNum>
  <w:abstractNum w:abstractNumId="24">
    <w:nsid w:val="8138641"/>
    <w:multiLevelType w:val="hybridMultilevel"/>
    <w:lvl w:ilvl="0">
      <w:lvlJc w:val="left"/>
      <w:lvlText w:val="\emdash "/>
      <w:numFmt w:val="bullet"/>
      <w:start w:val="1"/>
    </w:lvl>
  </w:abstractNum>
  <w:abstractNum w:abstractNumId="25">
    <w:nsid w:val="1E7FF521"/>
    <w:multiLevelType w:val="hybridMultilevel"/>
    <w:lvl w:ilvl="0">
      <w:lvlJc w:val="left"/>
      <w:lvlText w:val="\emdash "/>
      <w:numFmt w:val="bullet"/>
      <w:start w:val="1"/>
    </w:lvl>
  </w:abstractNum>
  <w:abstractNum w:abstractNumId="26">
    <w:nsid w:val="7C3DBD3D"/>
    <w:multiLevelType w:val="hybridMultilevel"/>
    <w:lvl w:ilvl="0">
      <w:lvlJc w:val="left"/>
      <w:lvlText w:val="\emdash "/>
      <w:numFmt w:val="bullet"/>
      <w:start w:val="1"/>
    </w:lvl>
  </w:abstractNum>
  <w:abstractNum w:abstractNumId="27">
    <w:nsid w:val="737B8DDC"/>
    <w:multiLevelType w:val="hybridMultilevel"/>
    <w:lvl w:ilvl="0">
      <w:lvlJc w:val="left"/>
      <w:lvlText w:val="\emdash "/>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emdash "/>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2019-12-07T08:17:03Z</dcterms:created>
  <dcterms:modified xsi:type="dcterms:W3CDTF">2019-12-07T08:17:03Z</dcterms:modified>
</cp:coreProperties>
</file>