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pPr>
      <w:r>
        <w:rPr>
          <w:rFonts w:ascii="Arial Narrow;sans-serif" w:hAnsi="Arial Narrow;sans-serif"/>
          <w:b/>
          <w:color w:val="000000"/>
          <w:sz w:val="20"/>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 Narrow;sans-serif" w:hAnsi="Arial Narrow;sans-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(Mark One)</w:t>
      </w:r>
    </w:p>
    <w:tbl>
      <w:tblPr>
        <w:tblW w:w="8877" w:type="dxa"/>
        <w:jc w:val="left"/>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September 30, 2024</w:t>
      </w:r>
    </w:p>
    <w:p>
      <w:pPr>
        <w:pStyle w:val="TextBody"/>
        <w:bidi w:val="0"/>
        <w:spacing w:lineRule="auto" w:line="288" w:before="0" w:after="0"/>
        <w:jc w:val="center"/>
        <w:rPr/>
      </w:pPr>
      <w:r>
        <w:rPr>
          <w:rFonts w:ascii="Arial Narrow;sans-serif" w:hAnsi="Arial Narrow;sans-serif"/>
          <w:b/>
          <w:color w:val="000000"/>
          <w:sz w:val="20"/>
        </w:rPr>
        <w:t>OR</w:t>
      </w:r>
      <w:r>
        <w:rPr>
          <w:color w:val="000000"/>
        </w:rPr>
        <w:t> </w:t>
      </w:r>
    </w:p>
    <w:tbl>
      <w:tblPr>
        <w:tblW w:w="8862" w:type="dxa"/>
        <w:jc w:val="left"/>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 Narrow;sans-serif" w:hAnsi="Arial Narrow;sans-serif"/>
          <w:b/>
          <w:color w:val="000000"/>
          <w:sz w:val="20"/>
        </w:rPr>
        <w:t>Commission file number: 000-50976</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HURON CONSULTING GROUP INC.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4227" w:type="dxa"/>
        <w:jc w:val="left"/>
        <w:tblInd w:w="0" w:type="dxa"/>
        <w:tblLayout w:type="fixed"/>
        <w:tblCellMar>
          <w:top w:w="28" w:type="dxa"/>
          <w:left w:w="28" w:type="dxa"/>
          <w:bottom w:w="28" w:type="dxa"/>
          <w:right w:w="28" w:type="dxa"/>
        </w:tblCellMar>
      </w:tblPr>
      <w:tblGrid>
        <w:gridCol w:w="802"/>
        <w:gridCol w:w="706"/>
        <w:gridCol w:w="712"/>
        <w:gridCol w:w="109"/>
        <w:gridCol w:w="109"/>
        <w:gridCol w:w="109"/>
        <w:gridCol w:w="489"/>
        <w:gridCol w:w="489"/>
        <w:gridCol w:w="702"/>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01-0666114</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(IRS Employer</w:t>
              <w:br/>
              <w:t>Identification Number)</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550 West Van Buren Street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Chicago, Illinois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60607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(Address of principal executive offices)</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(Zip Code)</w:t>
      </w:r>
    </w:p>
    <w:p>
      <w:pPr>
        <w:pStyle w:val="TextBody"/>
        <w:bidi w:val="0"/>
        <w:spacing w:lineRule="auto" w:line="288" w:before="120" w:after="283"/>
        <w:jc w:val="center"/>
        <w:rPr>
          <w:rFonts w:ascii="Arial Narrow;sans-serif" w:hAnsi="Arial Narrow;sans-serif"/>
          <w:b/>
          <w:color w:val="000000"/>
          <w:sz w:val="20"/>
        </w:rPr>
      </w:pPr>
      <w:r>
        <w:rPr>
          <w:rFonts w:ascii="Arial Narrow;sans-serif" w:hAnsi="Arial Narrow;sans-serif"/>
          <w:b/>
          <w:color w:val="000000"/>
          <w:sz w:val="20"/>
        </w:rPr>
        <w:t xml:space="preserve">(312) 583-8700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19"/>
        </w:rPr>
      </w:pPr>
      <w:r>
        <w:rPr>
          <w:rFonts w:ascii="Arial Narrow;sans-serif" w:hAnsi="Arial Narrow;sans-serif"/>
          <w:b w:val="false"/>
          <w:color w:val="000000"/>
          <w:sz w:val="19"/>
        </w:rPr>
        <w:t>Securities registered pursuant to Section 12(b) of the Act:</w:t>
      </w:r>
    </w:p>
    <w:tbl>
      <w:tblPr>
        <w:tblW w:w="8338" w:type="dxa"/>
        <w:jc w:val="center"/>
        <w:tblInd w:w="0" w:type="dxa"/>
        <w:tblLayout w:type="fixed"/>
        <w:tblCellMar>
          <w:top w:w="28" w:type="dxa"/>
          <w:left w:w="28" w:type="dxa"/>
          <w:bottom w:w="28" w:type="dxa"/>
          <w:right w:w="28" w:type="dxa"/>
        </w:tblCellMar>
      </w:tblPr>
      <w:tblGrid>
        <w:gridCol w:w="1138"/>
        <w:gridCol w:w="999"/>
        <w:gridCol w:w="1012"/>
        <w:gridCol w:w="519"/>
        <w:gridCol w:w="519"/>
        <w:gridCol w:w="521"/>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Trading Symbol(s)</w:t>
            </w:r>
          </w:p>
        </w:tc>
        <w:tc>
          <w:tcPr>
            <w:tcW w:w="36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Common Stock, par value $0.01 per share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HURN</w:t>
            </w:r>
          </w:p>
        </w:tc>
        <w:tc>
          <w:tcPr>
            <w:tcW w:w="36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NASDAQ Global Select Market</w:t>
            </w:r>
          </w:p>
        </w:tc>
      </w:tr>
    </w:tbl>
    <w:p>
      <w:pPr>
        <w:pStyle w:val="TextBody"/>
        <w:bidi w:val="0"/>
        <w:spacing w:lineRule="auto" w:line="288" w:before="0" w:after="0"/>
        <w:ind w:left="0" w:right="0" w:hanging="360"/>
        <w:jc w:val="left"/>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Arial Narrow;sans-serif" w:hAnsi="Arial Narrow;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left"/>
        <w:rPr/>
      </w:pPr>
      <w:r>
        <w:rPr>
          <w:rFonts w:ascii="Arial Narrow;sans-serif" w:hAnsi="Arial Narrow;sans-serif"/>
          <w:b w:val="false"/>
          <w:color w:val="000000"/>
          <w:sz w:val="19"/>
        </w:rPr>
        <w:t>Indicate by check mark whether the registrant is a shell company (as defined in Rule 12b-2 of the Exchange Act).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Indicate the number of shares outstanding of each of the issuer’s classes of common stock, as of the latest practicable date.</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As of October 22, 2024, 17,740,913 shares of the registrant’s common stock, par value $0.01 per share,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460" w:type="dxa"/>
        <w:jc w:val="center"/>
        <w:tblInd w:w="0" w:type="dxa"/>
        <w:tblLayout w:type="fixed"/>
        <w:tblCellMar>
          <w:top w:w="28" w:type="dxa"/>
          <w:left w:w="28" w:type="dxa"/>
          <w:bottom w:w="28" w:type="dxa"/>
          <w:right w:w="28" w:type="dxa"/>
        </w:tblCellMar>
      </w:tblPr>
      <w:tblGrid>
        <w:gridCol w:w="786"/>
        <w:gridCol w:w="693"/>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Huron Consulting Group Inc.</w:t>
            </w:r>
          </w:p>
        </w:tc>
      </w:tr>
    </w:tbl>
    <w:p>
      <w:pPr>
        <w:pStyle w:val="TextBody"/>
        <w:bidi w:val="0"/>
        <w:spacing w:lineRule="auto" w:line="288" w:before="140" w:after="283"/>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240" w:after="283"/>
        <w:jc w:val="center"/>
        <w:rPr>
          <w:rFonts w:ascii="Arial Narrow;sans-serif" w:hAnsi="Arial Narrow;sans-serif"/>
          <w:b/>
          <w:color w:val="000000"/>
          <w:sz w:val="20"/>
        </w:rPr>
      </w:pPr>
      <w:r>
        <w:rPr>
          <w:rFonts w:ascii="Arial Narrow;sans-serif" w:hAnsi="Arial Narrow;sans-serif"/>
          <w:b/>
          <w:color w:val="000000"/>
          <w:sz w:val="20"/>
        </w:rPr>
        <w:t>INDEX</w:t>
      </w:r>
    </w:p>
    <w:tbl>
      <w:tblPr>
        <w:tblW w:w="8039" w:type="dxa"/>
        <w:jc w:val="center"/>
        <w:tblInd w:w="0" w:type="dxa"/>
        <w:tblLayout w:type="fixed"/>
        <w:tblCellMar>
          <w:top w:w="28" w:type="dxa"/>
          <w:left w:w="28" w:type="dxa"/>
          <w:bottom w:w="28" w:type="dxa"/>
          <w:right w:w="28" w:type="dxa"/>
        </w:tblCellMar>
      </w:tblPr>
      <w:tblGrid>
        <w:gridCol w:w="442"/>
        <w:gridCol w:w="386"/>
        <w:gridCol w:w="386"/>
        <w:gridCol w:w="2096"/>
        <w:gridCol w:w="2096"/>
        <w:gridCol w:w="2152"/>
        <w:gridCol w:w="140"/>
        <w:gridCol w:w="140"/>
        <w:gridCol w:w="201"/>
      </w:tblGrid>
      <w:tr>
        <w:trPr/>
        <w:tc>
          <w:tcPr>
            <w:tcW w:w="4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Page</w:t>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0">
              <w:r>
                <w:rPr>
                  <w:rStyle w:val="InternetLink"/>
                  <w:rFonts w:ascii="Arial Narrow;sans-serif" w:hAnsi="Arial Narrow;sans-serif"/>
                  <w:b/>
                  <w:color w:val="0000FF"/>
                  <w:sz w:val="20"/>
                  <w:u w:val="single"/>
                </w:rPr>
                <w:t>Part I – Financial Information</w:t>
              </w:r>
            </w:hyperlink>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3">
              <w:r>
                <w:rPr>
                  <w:rStyle w:val="InternetLink"/>
                  <w:rFonts w:ascii="Arial Narrow;sans-serif" w:hAnsi="Arial Narrow;sans-serif"/>
                  <w:b w:val="false"/>
                  <w:color w:val="0000FF"/>
                  <w:sz w:val="20"/>
                  <w:u w:val="single"/>
                </w:rPr>
                <w:t>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6">
              <w:r>
                <w:rPr>
                  <w:rStyle w:val="InternetLink"/>
                  <w:rFonts w:ascii="Arial Narrow;sans-serif" w:hAnsi="Arial Narrow;sans-serif"/>
                  <w:b w:val="false"/>
                  <w:color w:val="0000FF"/>
                  <w:sz w:val="20"/>
                  <w:u w:val="single"/>
                </w:rPr>
                <w:t>Consolidated Balance Sheets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6">
              <w:r>
                <w:rPr>
                  <w:rStyle w:val="InternetLink"/>
                  <w:rFonts w:ascii="Arial Narrow;sans-serif" w:hAnsi="Arial Narrow;sans-serif"/>
                  <w:b w:val="false"/>
                  <w:color w:val="0000FF"/>
                  <w:sz w:val="20"/>
                  <w:u w:val="single"/>
                </w:rPr>
                <w:t>1</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9">
              <w:r>
                <w:rPr>
                  <w:rStyle w:val="InternetLink"/>
                  <w:rFonts w:ascii="Arial Narrow;sans-serif" w:hAnsi="Arial Narrow;sans-serif"/>
                  <w:b w:val="false"/>
                  <w:color w:val="0000FF"/>
                  <w:sz w:val="20"/>
                  <w:u w:val="single"/>
                </w:rPr>
                <w:t>Consolidated Statements of Operations and Other Comprehensive Income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9">
              <w:r>
                <w:rPr>
                  <w:rStyle w:val="InternetLink"/>
                  <w:rFonts w:ascii="Arial Narrow;sans-serif" w:hAnsi="Arial Narrow;sans-serif"/>
                  <w:b w:val="false"/>
                  <w:color w:val="0000FF"/>
                  <w:sz w:val="20"/>
                  <w:u w:val="single"/>
                </w:rPr>
                <w:t>2</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22">
              <w:r>
                <w:rPr>
                  <w:rStyle w:val="InternetLink"/>
                  <w:rFonts w:ascii="Arial Narrow;sans-serif" w:hAnsi="Arial Narrow;sans-serif"/>
                  <w:b w:val="false"/>
                  <w:color w:val="0000FF"/>
                  <w:sz w:val="20"/>
                  <w:u w:val="single"/>
                </w:rPr>
                <w:t>Consolidated Statements of Stockholders’ Equity</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22">
              <w:r>
                <w:rPr>
                  <w:rStyle w:val="InternetLink"/>
                  <w:rFonts w:ascii="Arial Narrow;sans-serif" w:hAnsi="Arial Narrow;sans-serif"/>
                  <w:b w:val="false"/>
                  <w:color w:val="0000FF"/>
                  <w:sz w:val="20"/>
                  <w:u w:val="single"/>
                </w:rPr>
                <w:t>3</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25">
              <w:r>
                <w:rPr>
                  <w:rStyle w:val="InternetLink"/>
                  <w:rFonts w:ascii="Arial Narrow;sans-serif" w:hAnsi="Arial Narrow;sans-serif"/>
                  <w:b w:val="false"/>
                  <w:color w:val="0000FF"/>
                  <w:sz w:val="20"/>
                  <w:u w:val="single"/>
                </w:rPr>
                <w:t>Consolidated Statements of Cash Flows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25">
              <w:r>
                <w:rPr>
                  <w:rStyle w:val="InternetLink"/>
                  <w:rFonts w:ascii="Arial Narrow;sans-serif" w:hAnsi="Arial Narrow;sans-serif"/>
                  <w:b w:val="false"/>
                  <w:color w:val="0000FF"/>
                  <w:sz w:val="20"/>
                  <w:u w:val="single"/>
                </w:rPr>
                <w:t>4</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28">
              <w:r>
                <w:rPr>
                  <w:rStyle w:val="InternetLink"/>
                  <w:rFonts w:ascii="Arial Narrow;sans-serif" w:hAnsi="Arial Narrow;sans-serif"/>
                  <w:b w:val="false"/>
                  <w:color w:val="0000FF"/>
                  <w:sz w:val="20"/>
                  <w:u w:val="single"/>
                </w:rPr>
                <w:t>Notes to Consolidated Financial Statements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28">
              <w:r>
                <w:rPr>
                  <w:rStyle w:val="InternetLink"/>
                  <w:rFonts w:ascii="Arial Narrow;sans-serif" w:hAnsi="Arial Narrow;sans-serif"/>
                  <w:b w:val="false"/>
                  <w:color w:val="0000FF"/>
                  <w:sz w:val="20"/>
                  <w:u w:val="single"/>
                </w:rPr>
                <w:t>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79">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79">
              <w:r>
                <w:rPr>
                  <w:rStyle w:val="InternetLink"/>
                  <w:rFonts w:ascii="Arial Narrow;sans-serif" w:hAnsi="Arial Narrow;sans-serif"/>
                  <w:b w:val="false"/>
                  <w:color w:val="0000FF"/>
                  <w:sz w:val="20"/>
                  <w:u w:val="single"/>
                </w:rPr>
                <w:t>21</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15">
              <w:r>
                <w:rPr>
                  <w:rStyle w:val="InternetLink"/>
                  <w:rFonts w:ascii="Arial Narrow;sans-serif" w:hAnsi="Arial Narrow;sans-serif"/>
                  <w:b w:val="false"/>
                  <w:color w:val="0000FF"/>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15">
              <w:r>
                <w:rPr>
                  <w:rStyle w:val="InternetLink"/>
                  <w:rFonts w:ascii="Arial Narrow;sans-serif" w:hAnsi="Arial Narrow;sans-serif"/>
                  <w:b w:val="false"/>
                  <w:color w:val="0000FF"/>
                  <w:sz w:val="20"/>
                  <w:u w:val="single"/>
                </w:rPr>
                <w:t>41</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18">
              <w:r>
                <w:rPr>
                  <w:rStyle w:val="InternetLink"/>
                  <w:rFonts w:ascii="Arial Narrow;sans-serif" w:hAnsi="Arial Narrow;sans-serif"/>
                  <w:b w:val="false"/>
                  <w:color w:val="0000FF"/>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18">
              <w:r>
                <w:rPr>
                  <w:rStyle w:val="InternetLink"/>
                  <w:rFonts w:ascii="Arial Narrow;sans-serif" w:hAnsi="Arial Narrow;sans-serif"/>
                  <w:b w:val="false"/>
                  <w:color w:val="0000FF"/>
                  <w:sz w:val="20"/>
                  <w:u w:val="single"/>
                </w:rPr>
                <w:t>42</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21">
              <w:r>
                <w:rPr>
                  <w:rStyle w:val="InternetLink"/>
                  <w:rFonts w:ascii="Arial Narrow;sans-serif" w:hAnsi="Arial Narrow;sans-serif"/>
                  <w:b/>
                  <w:color w:val="0000FF"/>
                  <w:sz w:val="20"/>
                  <w:u w:val="single"/>
                </w:rPr>
                <w:t>Part II – 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24">
              <w:r>
                <w:rPr>
                  <w:rStyle w:val="InternetLink"/>
                  <w:rFonts w:ascii="Arial Narrow;sans-serif" w:hAnsi="Arial Narrow;sans-serif"/>
                  <w:b w:val="false"/>
                  <w:color w:val="0000FF"/>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24">
              <w:r>
                <w:rPr>
                  <w:rStyle w:val="InternetLink"/>
                  <w:rFonts w:ascii="Arial Narrow;sans-serif" w:hAnsi="Arial Narrow;sans-serif"/>
                  <w:b w:val="false"/>
                  <w:color w:val="0000FF"/>
                  <w:sz w:val="20"/>
                  <w:u w:val="single"/>
                </w:rPr>
                <w:t>42</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27">
              <w:r>
                <w:rPr>
                  <w:rStyle w:val="InternetLink"/>
                  <w:rFonts w:ascii="Arial Narrow;sans-serif" w:hAnsi="Arial Narrow;sans-serif"/>
                  <w:b w:val="false"/>
                  <w:color w:val="0000FF"/>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27">
              <w:r>
                <w:rPr>
                  <w:rStyle w:val="InternetLink"/>
                  <w:rFonts w:ascii="Arial Narrow;sans-serif" w:hAnsi="Arial Narrow;sans-serif"/>
                  <w:b w:val="false"/>
                  <w:color w:val="0000FF"/>
                  <w:sz w:val="20"/>
                  <w:u w:val="single"/>
                </w:rPr>
                <w:t>42</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30">
              <w:r>
                <w:rPr>
                  <w:rStyle w:val="InternetLink"/>
                  <w:rFonts w:ascii="Arial Narrow;sans-serif" w:hAnsi="Arial Narrow;sans-serif"/>
                  <w:b w:val="false"/>
                  <w:color w:val="0000FF"/>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30">
              <w:r>
                <w:rPr>
                  <w:rStyle w:val="InternetLink"/>
                  <w:rFonts w:ascii="Arial Narrow;sans-serif" w:hAnsi="Arial Narrow;sans-serif"/>
                  <w:b w:val="false"/>
                  <w:color w:val="0000FF"/>
                  <w:sz w:val="20"/>
                  <w:u w:val="single"/>
                </w:rPr>
                <w:t>42</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33">
              <w:r>
                <w:rPr>
                  <w:rStyle w:val="InternetLink"/>
                  <w:rFonts w:ascii="Arial Narrow;sans-serif" w:hAnsi="Arial Narrow;sans-serif"/>
                  <w:b w:val="false"/>
                  <w:color w:val="0000FF"/>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33">
              <w:r>
                <w:rPr>
                  <w:rStyle w:val="InternetLink"/>
                  <w:rFonts w:ascii="Arial Narrow;sans-serif" w:hAnsi="Arial Narrow;sans-serif"/>
                  <w:b w:val="false"/>
                  <w:color w:val="0000FF"/>
                  <w:sz w:val="20"/>
                  <w:u w:val="single"/>
                </w:rPr>
                <w:t>43</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36">
              <w:r>
                <w:rPr>
                  <w:rStyle w:val="InternetLink"/>
                  <w:rFonts w:ascii="Arial Narrow;sans-serif" w:hAnsi="Arial Narrow;sans-serif"/>
                  <w:b w:val="false"/>
                  <w:color w:val="0000FF"/>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36">
              <w:r>
                <w:rPr>
                  <w:rStyle w:val="InternetLink"/>
                  <w:rFonts w:ascii="Arial Narrow;sans-serif" w:hAnsi="Arial Narrow;sans-serif"/>
                  <w:b w:val="false"/>
                  <w:color w:val="0000FF"/>
                  <w:sz w:val="20"/>
                  <w:u w:val="single"/>
                </w:rPr>
                <w:t>43</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39">
              <w:r>
                <w:rPr>
                  <w:rStyle w:val="InternetLink"/>
                  <w:rFonts w:ascii="Arial Narrow;sans-serif" w:hAnsi="Arial Narrow;sans-serif"/>
                  <w:b w:val="false"/>
                  <w:color w:val="0000FF"/>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39">
              <w:r>
                <w:rPr>
                  <w:rStyle w:val="InternetLink"/>
                  <w:rFonts w:ascii="Arial Narrow;sans-serif" w:hAnsi="Arial Narrow;sans-serif"/>
                  <w:b w:val="false"/>
                  <w:color w:val="0000FF"/>
                  <w:sz w:val="20"/>
                  <w:u w:val="single"/>
                </w:rPr>
                <w:t>43</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42">
              <w:r>
                <w:rPr>
                  <w:rStyle w:val="InternetLink"/>
                  <w:rFonts w:ascii="Arial Narrow;sans-serif" w:hAnsi="Arial Narrow;sans-serif"/>
                  <w:b w:val="false"/>
                  <w:color w:val="0000FF"/>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42">
              <w:r>
                <w:rPr>
                  <w:rStyle w:val="InternetLink"/>
                  <w:rFonts w:ascii="Arial Narrow;sans-serif" w:hAnsi="Arial Narrow;sans-serif"/>
                  <w:b w:val="false"/>
                  <w:color w:val="0000FF"/>
                  <w:sz w:val="20"/>
                  <w:u w:val="single"/>
                </w:rPr>
                <w:t>44</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c0fea722bc843179ddd7261215ebfa0_145">
              <w:r>
                <w:rPr>
                  <w:rStyle w:val="InternetLink"/>
                  <w:rFonts w:ascii="Arial Narrow;sans-serif" w:hAnsi="Arial Narrow;sans-serif"/>
                  <w:b/>
                  <w:color w:val="0000FF"/>
                  <w:sz w:val="20"/>
                  <w:u w:val="single"/>
                </w:rPr>
                <w:t>Signature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0fea722bc843179ddd7261215ebfa0_145">
              <w:r>
                <w:rPr>
                  <w:rStyle w:val="InternetLink"/>
                  <w:rFonts w:ascii="Arial Narrow;sans-serif" w:hAnsi="Arial Narrow;sans-serif"/>
                  <w:b w:val="false"/>
                  <w:color w:val="0000FF"/>
                  <w:sz w:val="20"/>
                  <w:u w:val="single"/>
                </w:rPr>
                <w:t>45</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ITEM 1.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734"/>
        <w:gridCol w:w="2326"/>
        <w:gridCol w:w="2369"/>
        <w:gridCol w:w="200"/>
        <w:gridCol w:w="895"/>
        <w:gridCol w:w="111"/>
        <w:gridCol w:w="109"/>
        <w:gridCol w:w="109"/>
        <w:gridCol w:w="109"/>
        <w:gridCol w:w="199"/>
        <w:gridCol w:w="885"/>
        <w:gridCol w:w="159"/>
      </w:tblGrid>
      <w:tr>
        <w:trPr/>
        <w:tc>
          <w:tcPr>
            <w:tcW w:w="2734"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2023</w:t>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assets: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Receivables from clients, net of allowances of $15,707 and $17,284, respectively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204,894 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162,566 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Unbilled services, net of allowances of $3,064 and $5,984, respectively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177,437 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190,869 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receivable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assets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437,809 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400,460 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investments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111,448 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92,336 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647,541 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1,328,780 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1,262,142 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 and stockholders’ equity</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related benefits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225,921 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revenues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liabilities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271,266 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428,204 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non-current liabilities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534,742 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426,675 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contingencies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500,000,000 shares authorized; 20,793,202 and 21,316,441 shares issued, respectively</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Treasury stock, at cost, 3,062,689 and 2,852,296 shares, respectively</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(159,717)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(142,136)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paid-in capital</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174,872 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236,962 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497,664 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415,027 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income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522,772 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532,892 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1,328,780 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1,262,142 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 (LOSS)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738"/>
        <w:gridCol w:w="1495"/>
        <w:gridCol w:w="1510"/>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6"/>
      </w:tblGrid>
      <w:tr>
        <w:trPr/>
        <w:tc>
          <w:tcPr>
            <w:tcW w:w="173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Nine Months Ended</w:t>
              <w:br/>
              <w:t>September 30,</w:t>
            </w:r>
          </w:p>
        </w:tc>
      </w:tr>
      <w:tr>
        <w:trPr/>
        <w:tc>
          <w:tcPr>
            <w:tcW w:w="4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2023</w:t>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358,178 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1,097,664 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1,022,832 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Total revenues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378,089 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367,466 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1,122,491 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1,048,750 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Direct costs (exclusive of depreciation and amortization included below)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247,849 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749,757 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708,355 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214,485 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190,857 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gains,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335,644 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330,124 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1,000,722 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953,258 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Operating income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42,445 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121,769 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95,492 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Interest expense, net of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(15,146)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(13,365)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before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107,236 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82,127 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82,637 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59,647 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Earnings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basic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diluted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Weighted average shares used in calculating 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Comprehensive income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59,647 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Foreign currency translation adjustments,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gain (loss) on investment,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loss on cash flow hedging instruments,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comprehensive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(13,081)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Comprehensive income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22,890 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69,556 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62,206 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1355" w:type="dxa"/>
        <w:jc w:val="center"/>
        <w:tblInd w:w="0" w:type="dxa"/>
        <w:tblLayout w:type="fixed"/>
        <w:tblCellMar>
          <w:top w:w="28" w:type="dxa"/>
          <w:left w:w="28" w:type="dxa"/>
          <w:bottom w:w="28" w:type="dxa"/>
          <w:right w:w="28" w:type="dxa"/>
        </w:tblCellMar>
      </w:tblPr>
      <w:tblGrid>
        <w:gridCol w:w="645"/>
        <w:gridCol w:w="239"/>
        <w:gridCol w:w="212"/>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64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September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20,834,133 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(3,114,873)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175,387 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470,515 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14,005 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500,578 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(4,259)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13,692 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6,987 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6,605 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(3,814)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(66,354)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(7,342)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20,788,458 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(3,115,850)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174,872 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497,664 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9,746 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522,772 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2023</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21,732,924 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(2,969,196)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23,058 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551,618 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19,136 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16,511 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(290,288)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(28,787)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2023</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21,475,484 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(2,972,631)</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(141,729)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261,995 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412,195 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20,678 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553,354 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55" w:type="dxa"/>
        <w:jc w:val="left"/>
        <w:tblInd w:w="0" w:type="dxa"/>
        <w:tblLayout w:type="fixed"/>
        <w:tblCellMar>
          <w:top w:w="28" w:type="dxa"/>
          <w:left w:w="28" w:type="dxa"/>
          <w:bottom w:w="28" w:type="dxa"/>
          <w:right w:w="28" w:type="dxa"/>
        </w:tblCellMar>
      </w:tblPr>
      <w:tblGrid>
        <w:gridCol w:w="588"/>
        <w:gridCol w:w="253"/>
        <w:gridCol w:w="255"/>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5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 September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2023</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21,175,554 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(2,975,321)</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236,962 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415,027 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532,892 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(13,081)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69,556 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564,130 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77,657 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29,406 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86,913 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35,422 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(218,186)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(21,458)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Other capital contributions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(1,067,545)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(104,027)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20,788,458 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(3,115,850)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(159,717)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174,872 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497,664 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9,746 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522,772 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2022</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22,231,593 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(2,953,147)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(137,556)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18,119 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552,040 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62,206 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322,775 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122,220 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21,609 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16,337 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34,958 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(141,704)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(10,050)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(1,116,830)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(88,422)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(88,433)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September 30, 2023</w:t>
            </w:r>
          </w:p>
        </w:tc>
        <w:tc>
          <w:tcPr>
            <w:tcW w:w="8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21,475,484 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(2,972,631)</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(141,729)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261,995 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412,195 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20,678 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553,354 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868" w:type="dxa"/>
        <w:jc w:val="center"/>
        <w:tblInd w:w="0" w:type="dxa"/>
        <w:tblLayout w:type="fixed"/>
        <w:tblCellMar>
          <w:top w:w="28" w:type="dxa"/>
          <w:left w:w="28" w:type="dxa"/>
          <w:bottom w:w="28" w:type="dxa"/>
          <w:right w:w="28" w:type="dxa"/>
        </w:tblCellMar>
      </w:tblPr>
      <w:tblGrid>
        <w:gridCol w:w="2093"/>
        <w:gridCol w:w="1833"/>
        <w:gridCol w:w="1848"/>
        <w:gridCol w:w="181"/>
        <w:gridCol w:w="571"/>
        <w:gridCol w:w="109"/>
        <w:gridCol w:w="109"/>
        <w:gridCol w:w="109"/>
        <w:gridCol w:w="109"/>
        <w:gridCol w:w="181"/>
        <w:gridCol w:w="57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September 30,</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Lease-related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Allowances for doubtful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contingent consideration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 and divestiture: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receivables from clients,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unbilled services,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current income tax receivable / payable,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accounts payable and 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accrued payroll and related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deferred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life insurance policies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from life insurance policies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businesses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Capitalization of internally developed software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sale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exercises of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(88,897)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bank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Repayments of bank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payments on business acquisition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(decrease) in 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the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expenditures and capitalized software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 obtained in exchange for operating lease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issued related to purchase of business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accrued related to purchases of businesses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Excise tax on net share repurchases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collaborates with clients to put possible into practice by creating sound strategies, optimizing operations, accelerating digital transformation, and empowering businesses and their people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Healthcare, Education, and Commercial, which align our business by industry. The Commercial segment includes all industries outside of healthcare and education, including, but not limited to, financial services and energy and utilities.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14 “Segment Information” for more information on each of our segments and their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Basis of Presentation and Significant Accounting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unaudited consolidated financial statements reflect the financial position, results of operations, and cash flows as of and for the three and nine months ended September 30, 2024 and 2023.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2023 and our Quarterly Reports on Form 10-Q for the periods ended March 31, 2024 and June 30, 2024. Our results for any interim period are not necessarily indicative of results for a full year or any other interim period.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2024, we revised the presentation of our consolidated statement of operations and other comprehensive income (loss) to separately present other gains, net previously presented within selling, general and administrative expenses. The change in presentation had no effect on our consolidated results, and our historical consolidated statements of operations and other comprehensive income (loss) were revised for consistent presentation.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third quarter of 2024, we revised the line item descriptions of revenues to rename revenues as revenues before reimbursable expenses and to rename total revenues and reimbursable expenses as total revenues. The change in line item description has no impact on the line item totals for any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3. New Accounting Pronouncements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Not Yet Adopted</w:t>
      </w:r>
    </w:p>
    <w:p>
      <w:pPr>
        <w:pStyle w:val="TextBody"/>
        <w:bidi w:val="0"/>
        <w:spacing w:lineRule="auto" w:line="288" w:before="180" w:after="283"/>
        <w:jc w:val="left"/>
        <w:rPr/>
      </w:pPr>
      <w:r>
        <w:rPr>
          <w:rFonts w:ascii="Arial Narrow;sans-serif" w:hAnsi="Arial Narrow;sans-serif"/>
          <w:b w:val="false"/>
          <w:color w:val="000000"/>
          <w:sz w:val="20"/>
        </w:rPr>
        <w:t xml:space="preserve">On November 27, 2023, the Financial Accounting Standards Board (“FASB”) issued Accounting Standards Update (“ASU”) 2023-07, </w:t>
      </w:r>
      <w:r>
        <w:rPr>
          <w:rFonts w:ascii="Arial Narrow;sans-serif" w:hAnsi="Arial Narrow;sans-serif"/>
          <w:b w:val="false"/>
          <w:i/>
          <w:color w:val="000000"/>
          <w:sz w:val="20"/>
        </w:rPr>
        <w:t>Segment Reporting (Topic 280): Improvements to Reportable Segment Disclosures</w:t>
      </w:r>
      <w:r>
        <w:rPr>
          <w:rFonts w:ascii="Arial Narrow;sans-serif" w:hAnsi="Arial Narrow;sans-serif"/>
          <w:b w:val="false"/>
          <w:color w:val="000000"/>
          <w:sz w:val="20"/>
        </w:rPr>
        <w:t>, which updates the segment disclosure requirements, primarily through enhanced disclosures about significant segment expenses on an interim and annual basis. ASU 2023-07 will be effective for our annual reporting periods beginning with the current fiscal year ending December 31, 2024 and for interim reporting periods beginning in fiscal year 2025, with early adoption permitted, and is required to be applied retrospectively. We expect to adopt ASU 2023-07 for our annual reporting period ending December 31, 2024 on a retrospective basis. We expect the adoption will have no impact on our financial position or our results of operations, but will result in additional disclosures.</w:t>
      </w:r>
    </w:p>
    <w:p>
      <w:pPr>
        <w:pStyle w:val="TextBody"/>
        <w:bidi w:val="0"/>
        <w:spacing w:lineRule="auto" w:line="288" w:before="180" w:after="283"/>
        <w:jc w:val="left"/>
        <w:rPr/>
      </w:pPr>
      <w:r>
        <w:rPr>
          <w:rFonts w:ascii="Arial Narrow;sans-serif" w:hAnsi="Arial Narrow;sans-serif"/>
          <w:b w:val="false"/>
          <w:color w:val="000000"/>
          <w:sz w:val="20"/>
        </w:rPr>
        <w:t xml:space="preserve">On December 14, 2023, the FASB issued ASU 2023-09, </w:t>
      </w:r>
      <w:r>
        <w:rPr>
          <w:rFonts w:ascii="Arial Narrow;sans-serif" w:hAnsi="Arial Narrow;sans-serif"/>
          <w:b w:val="false"/>
          <w:i/>
          <w:color w:val="000000"/>
          <w:sz w:val="20"/>
        </w:rPr>
        <w:t>Improvements to Income Tax Disclosures</w:t>
      </w:r>
      <w:r>
        <w:rPr>
          <w:rFonts w:ascii="Arial Narrow;sans-serif" w:hAnsi="Arial Narrow;sans-serif"/>
          <w:b w:val="false"/>
          <w:color w:val="000000"/>
          <w:sz w:val="20"/>
        </w:rPr>
        <w:t>, which updates annual income tax disclosures by requiring disclosure of specific categories in the rate reconciliation, as well as disclosure of income taxes paid disaggregated by jurisdiction. ASU 2023-09 will be effective for our annual reporting periods beginning with the fiscal year ending December 31, 2025, with early adoption permitted, and is required to be applied prospectively with the option of retrospective application. We expect the adoption will have no impact on our financial position or our results of operations, but will result in additional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pPr>
      <w:r>
        <w:rPr>
          <w:rFonts w:ascii="Arial Narrow;sans-serif" w:hAnsi="Arial Narrow;sans-serif"/>
          <w:b w:val="false"/>
          <w:color w:val="000000"/>
          <w:sz w:val="20"/>
        </w:rPr>
        <w:t xml:space="preserve">On March 6, 2024, the SEC adopted the final rule under SEC Release No. 33-11275, </w:t>
      </w:r>
      <w:r>
        <w:rPr>
          <w:rFonts w:ascii="Arial Narrow;sans-serif" w:hAnsi="Arial Narrow;sans-serif"/>
          <w:b w:val="false"/>
          <w:i/>
          <w:color w:val="000000"/>
          <w:sz w:val="20"/>
        </w:rPr>
        <w:t>The Enhancement and Standardization of Climate-Related Disclosures for Investors</w:t>
      </w:r>
      <w:r>
        <w:rPr>
          <w:rFonts w:ascii="Arial Narrow;sans-serif" w:hAnsi="Arial Narrow;sans-serif"/>
          <w:b w:val="false"/>
          <w:color w:val="000000"/>
          <w:sz w:val="20"/>
        </w:rPr>
        <w:t>, which will require registrants to disclose certain climate-related information in registration statements and annual reports. The disclosure requirements will be effective for our annual reporting periods beginning with the fiscal year ending December 31, 2025, subject to any delay which may result from the current administrative stay issued by the SEC. We expect the adoption will have no impact on our financial position or our results of operations, but we are currently evaluating the impact this guidance will have on our disclosures within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 Goodwill and Intangible Assets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goodwill by reportable segment for the nine months ended September 30, 2024.</w:t>
      </w:r>
    </w:p>
    <w:tbl>
      <w:tblPr>
        <w:tblW w:w="9554" w:type="dxa"/>
        <w:jc w:val="left"/>
        <w:tblInd w:w="0" w:type="dxa"/>
        <w:tblLayout w:type="fixed"/>
        <w:tblCellMar>
          <w:top w:w="28" w:type="dxa"/>
          <w:left w:w="28" w:type="dxa"/>
          <w:bottom w:w="28" w:type="dxa"/>
          <w:right w:w="28" w:type="dxa"/>
        </w:tblCellMar>
      </w:tblPr>
      <w:tblGrid>
        <w:gridCol w:w="1529"/>
        <w:gridCol w:w="1345"/>
        <w:gridCol w:w="135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52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 Narrow;sans-serif" w:hAnsi="Arial Narrow;sans-serif"/>
                <w:b/>
                <w:sz w:val="20"/>
              </w:rPr>
              <w:br/>
            </w:r>
            <w:r>
              <w:rPr>
                <w:rFonts w:ascii="Arial Narrow;sans-serif" w:hAnsi="Arial Narrow;sans-serif"/>
                <w:b/>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Goodwill recorded in connection with business acquisitions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September 30, 2024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647,541 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2024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January 1, 2024, we completed the acquisition of the data analytics services team of Vlamis Software Solutions, Inc. (“Vlamis”). The results of operations of Vlamis are included within our consolidated financial statements as of the acquisition date and allocated among our Education and Commercial segments based on the engagements delivered by the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2024, we completed the acquisition of Grenzebach Glier and Associates, Inc. (“GG+A”), a philanthropic management consulting firm that helps education institutions and other nonprofit organizations build and accelerate the philanthropic programs that support their mission. The results of operations of GG+A are included within our consolidated financial statements and results of operations of our Education segment as of the acquisition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acquisitions of Vlamis and GG+A are not significant to our consolidated financial statements individually or in the aggregate as of and for the three and nine months ended September 30, 2024. These acquisitions were accounted for using the acquisition method of accounting. Contract assets and contract liabilities are recorded at their carrying value under Topic 606: Revenue from Contracts with Customers. We finalized the measurement of assets acquired, including goodwill, and liabilities assumed in the acquisitions of Vlamis and GG+A in the first and second quarters of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as of September 30, 2024 and December 31, 2023 consisted of the following:</w:t>
      </w:r>
    </w:p>
    <w:tbl>
      <w:tblPr>
        <w:tblW w:w="8731" w:type="dxa"/>
        <w:jc w:val="left"/>
        <w:tblInd w:w="0" w:type="dxa"/>
        <w:tblLayout w:type="fixed"/>
        <w:tblCellMar>
          <w:top w:w="28" w:type="dxa"/>
          <w:left w:w="28" w:type="dxa"/>
          <w:bottom w:w="28" w:type="dxa"/>
          <w:right w:w="28" w:type="dxa"/>
        </w:tblCellMar>
      </w:tblPr>
      <w:tblGrid>
        <w:gridCol w:w="793"/>
        <w:gridCol w:w="696"/>
        <w:gridCol w:w="701"/>
        <w:gridCol w:w="334"/>
        <w:gridCol w:w="334"/>
        <w:gridCol w:w="336"/>
        <w:gridCol w:w="109"/>
        <w:gridCol w:w="109"/>
        <w:gridCol w:w="109"/>
        <w:gridCol w:w="196"/>
        <w:gridCol w:w="646"/>
        <w:gridCol w:w="109"/>
        <w:gridCol w:w="109"/>
        <w:gridCol w:w="109"/>
        <w:gridCol w:w="109"/>
        <w:gridCol w:w="235"/>
        <w:gridCol w:w="775"/>
        <w:gridCol w:w="131"/>
        <w:gridCol w:w="109"/>
        <w:gridCol w:w="109"/>
        <w:gridCol w:w="109"/>
        <w:gridCol w:w="196"/>
        <w:gridCol w:w="646"/>
        <w:gridCol w:w="109"/>
        <w:gridCol w:w="109"/>
        <w:gridCol w:w="109"/>
        <w:gridCol w:w="109"/>
        <w:gridCol w:w="233"/>
        <w:gridCol w:w="769"/>
        <w:gridCol w:w="18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 2023</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5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9,022 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48,928 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contracts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 to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27,996 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65,512 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Identifiable intangible assets with finite lives are amortized over their estimated useful lives using either an accelerated or straight-line basis to correspond to the cash flows expected to be derived from the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 amortization expense was $1.6 million and $2.0 million for the three months ended September 30, 2024 and 2023, respectively; and $4.9 million and $6.2 million for the nine months ended September 30, 2024 and 2023, respectively. The table below sets forth the estimated annual amortization expense for the intangible assets recorded as of September 30, 2024.</w:t>
      </w:r>
    </w:p>
    <w:tbl>
      <w:tblPr>
        <w:tblW w:w="5202"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584"/>
        <w:gridCol w:w="1656"/>
        <w:gridCol w:w="460"/>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Estimated 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6,518 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6,719 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4,974 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3,582 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Actual future amortization expense could differ from these estimated amounts as a result of future acquisitions, dispositions,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5.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2024 and 2023, we recognized total revenues of $378.1 million and $367.5 million, respectively. Of the $378.1 million total revenues recognized in the third quarter of 2024, we recognized $10.9 million from obligations satisfied, or partially satisfied, in prior periods, of which $9.1 million was due to changes in the estimates of our variable consideration under performance-based billing arrangements and $1.8 million was due to the release of allowances on receivables from clients and unbilled services. Of the $367.5 million total revenues recognized in the third quarter of 2023, we recognized $9.6 million from obligations satisfied, or partially satisfied, in prior periods, of which $7.1 million was due to changes in the estimates of our variable consideration under performance-based billing arrangements and $2.5 million was due to the release of allowances on receivables from clients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2024 and 2023, we recognized total revenues of $1.12 billion and $1.05 billion, respectively. Of the $1.12 billion total revenues recognized in the first nine months of 2024, we recognized $22.4 million from obligations satisfied, or partially satisfied, in prior periods, of which $19.1 million was due to changes in the estimates of our variable consideration under performance-based billing arrangements and $3.3 million was due to the release of allowances on receivables from clients and unbilled services. Of the $1.05 billion total revenues recognized in the first nine months of 2023, we recognized $10.4 million from obligations satisfied, or partially satisfied, in prior periods, of which $9.1 million was due to changes in the estimates of our variable consideration under performance-based billing arrangements and $1.3 million was due to the release of allowances on receivables from clients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2024, we had $186.1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$186.1 million of performance obligations, we expect to recognize $26.0 million as revenue in 2024, $75.2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2025, and the remaining $84.9 million thereafter. Actual revenue recognition could differ from these amounts as a result of changes in the estimated timing of work to be performed, adjustments to estimated variable consideration in performance-based arrangements, or other factors.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net balance as of September 30, 2024 and December 31, 2023 was $55.4 million and $70.1 million, respectively. The $14.7 million decrease primarily reflects timing differences between the completion of our performance obligations and the amounts billed or billable to clients in accordance with their contractual billing terms.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Client prepayments and retainers are classified as deferred revenues and recognized over future periods in accordance with the applicable engagement agreement and our revenue recognition accounting policy. Our deferred revenues balance as of September 30, 2024 and December 31, 2023 was $27.7 million and $22.5 million, respectively. The $5.2 million increase reflects timing differences between client payments in accordance with their contract terms and the completion of our performance obligations. For the three and nine months ended September 30, 2024, $1.7 million and $21.3 million of revenues recognized were included in the deferred revenue balance as of December 31,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6.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8955" w:type="dxa"/>
        <w:jc w:val="center"/>
        <w:tblInd w:w="0" w:type="dxa"/>
        <w:tblLayout w:type="fixed"/>
        <w:tblCellMar>
          <w:top w:w="28" w:type="dxa"/>
          <w:left w:w="28" w:type="dxa"/>
          <w:bottom w:w="28" w:type="dxa"/>
          <w:right w:w="28" w:type="dxa"/>
        </w:tblCellMar>
      </w:tblPr>
      <w:tblGrid>
        <w:gridCol w:w="1487"/>
        <w:gridCol w:w="1312"/>
        <w:gridCol w:w="132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diluted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anti-dilutive securities excluded from the computation of the weighted average common stock equivalents presented above for the nine months ended September 30, 2024 and both the three and nine months ended September 30, 2023 was less than 0.1 million shares. There were no anti-dilutive securities for the three months ended September 30,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2021.The share repurchase program has been subsequently extended and increased, most recently in the second quarter of 2024. The current authorization extends the share repurchase program through December 31, 2025 with a repurchase amount of $500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three and nine months ended September 30, 2024, we repurchased and retired 66,354 and 1,067,545 shares for $7.3 million and $104.0 million, respectively, which includes a $0.1 million and $0.5 million accrual for excise taxes on the net share repurchases, respectively. Additionally, in the first quarter of 2024, we settled the repurchase of 10,000 shares for $1.0 million which were accrued as of December 31,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three and nine months ended September 30, 2023, we repurchased and retired 290,288 and 1,116,830 shares for $28.8 million and $88.4 million, respectively, which includes a $0.3 million and $0.6 million accrual for excise taxes on the net share repurchases, respectively. Additionally, in the first quarter of 2023, we settled the repurchase of 15,200 shares for $1.1 million which were accrued as of December 31,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$82.7 million remained available for share repurchases under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7. 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was established in February 2024 with the execution of Amendment No. 2 to the Third Amended and Restated Credit Agreement. The Term Loan is subject to scheduled quarterly amortization payments of $3.4 million which began June 30, 2024 and continue through the maturity date of November 15, 2027, at which time the outstanding principal balance and all accrued interest will be due.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we had total borrowings outstanding under our Amended Credit Agreement of $443.1 million, consisting of $175.0 million outstanding under the Revolver and $268.1 million outstanding under the Term Loan. A summary of the scheduled maturities of those borrowings follows:</w:t>
      </w:r>
    </w:p>
    <w:tbl>
      <w:tblPr>
        <w:tblW w:w="416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606"/>
        <w:gridCol w:w="2277"/>
        <w:gridCol w:w="47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Maturities of Long-Term Debt</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3,438 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412,187 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initial borrowings under the Revolver were used to refinance borrowings outstanding under a prior credit agreement, and future borrowings under the Revolver may be used for working capital, capital expenditures, share repurchases, permitted acquisitions, and other general corporate purposes. The proceeds of the Term Loan were used to reduce borrowings under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provides the option to increase the revolving credit facility or establish additional term loan facilities in an aggregate amount up to $250 million, subject to customary conditions and the approval of any lender whose commitment would be increased, resulting in a maximum available principal amount under the Amended Credit Agreement of $1.13 billion.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 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related to certain environmental, social and/or governance goals of the Company. Based upon the performance of the Company against those key performance indicators in each Reference Year (as defined in the Amended Credit Agreement),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Amounts borrowed under the Amended Credit Agreement may be prepaid at any time without premium or penalty. We are required to prepay the amounts outstanding under the Amended Credit Agreement in certain circumstances, including upon an Event of Default (as defined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loans and obligations under the Amended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2024, we were in compliance with these financial covenants with a Consolidated Leverage Ratio of 1.91 to 1.00 and a Consolidated Interest Coverage Ratio of 9.90 to 1.00.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 summary of the carrying amounts of our debt follows: </w:t>
      </w:r>
    </w:p>
    <w:tbl>
      <w:tblPr>
        <w:tblW w:w="6204" w:type="dxa"/>
        <w:jc w:val="left"/>
        <w:tblInd w:w="0" w:type="dxa"/>
        <w:tblLayout w:type="fixed"/>
        <w:tblCellMar>
          <w:top w:w="28" w:type="dxa"/>
          <w:left w:w="28" w:type="dxa"/>
          <w:bottom w:w="28" w:type="dxa"/>
          <w:right w:w="28" w:type="dxa"/>
        </w:tblCellMar>
      </w:tblPr>
      <w:tblGrid>
        <w:gridCol w:w="1254"/>
        <w:gridCol w:w="1100"/>
        <w:gridCol w:w="1110"/>
        <w:gridCol w:w="228"/>
        <w:gridCol w:w="859"/>
        <w:gridCol w:w="127"/>
        <w:gridCol w:w="109"/>
        <w:gridCol w:w="109"/>
        <w:gridCol w:w="109"/>
        <w:gridCol w:w="216"/>
        <w:gridCol w:w="813"/>
        <w:gridCol w:w="170"/>
      </w:tblGrid>
      <w:tr>
        <w:trPr/>
        <w:tc>
          <w:tcPr>
            <w:tcW w:w="125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Revolver</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175,000 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Term Loan</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268,125 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Unamortized debt issuance costs - Term Loan</w:t>
            </w:r>
            <w:r>
              <w:rPr>
                <w:rFonts w:ascii="Arial Narrow;sans-serif" w:hAnsi="Arial Narrow;sans-serif"/>
                <w:b w:val="false"/>
                <w:color w:val="000000"/>
                <w:sz w:val="13"/>
              </w:rPr>
              <w:t>1</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long-term debt</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441,954 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428,204 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720"/>
        <w:jc w:val="left"/>
        <w:rPr>
          <w:rFonts w:ascii="Arial Narrow;sans-serif" w:hAnsi="Arial Narrow;sans-serif"/>
          <w:b w:val="false"/>
          <w:color w:val="000000"/>
          <w:sz w:val="20"/>
        </w:rPr>
      </w:pPr>
      <w:r>
        <w:rPr>
          <w:rFonts w:ascii="Arial Narrow;sans-serif" w:hAnsi="Arial Narrow;sans-serif"/>
          <w:b w:val="false"/>
          <w:color w:val="000000"/>
          <w:sz w:val="20"/>
        </w:rPr>
        <w:t>(1)In connection with establishing the Term Loan, we incurred $1.4 million of debt issuance costs which were recognized as a discount to the Term Loan. These debt issuance costs are amortized to interest expense using an effective interest rate of 7.34% over the term of the Term Loan. Unamortized debt issuance costs related to the Revolver are included as a component of other non-current assets and amortized to interest expense using the straight-line method over the term of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as of September 30, 2024 and December 31, 2023 carried a weighted average interest rate of 4.9% and 4.2%, respectively, including the effect of the interest rate swaps described in Note 9 “Derivative Instruments and Hedging Activity.”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September 30, 2024, we had outstanding letters of credit totaling $0.6 million, which are used as security deposits for our office facilities. As of September 30, 2024, the unused borrowing capacity under the Revolver was $424.4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8. 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Restructuring charges for the three and nine months ended September 30, 2024 were $3.1 million and $7.5 million, respectively. The $3.1 million restructuring charges recognized in the third quarter of 2024 included $1.3 million of severance-related expenses; a $1.2 million non-cash impairment charge on the right-of-use operating lease asset and fixed assets for a portion of our New York, New York office space that we exited during the third quarter of 2024; and $0.6 million of rent and related expenses, net of sublease income, for previously vacated office spaces. The $7.5 million restructuring charges recognized in the first nine months of 2024 included $2.3 million of severance-related expenses; $1.7 million of rent and related expenses, net of sublease income, for previously vacated office spaces; a $1.4 million non-cash lease impairment charge on the right-of-use operating lease asset and fixed assets of office space previously occupied by GG+A;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$1.2 million non-cash impairment charge on the right-of-use operating lease asset and fixed assets for a portion of our office space in New York, New York that we exited during the third quarter of 2024; and $0.8 million related to non-cash lease impairment charges driven by updated sublease assumptions for our previously vacated office spaces.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three and nine months ended September 30, 2023 were $5.4 million and $9.4 million. The $5.4 million of restructuring charges recognized in the third quarter of 2023 included a $3.5 million non-cash impairment charge on the right-of-use operating lease asset and fixed assets for our office space in Lexington, Massachusetts that we exited during the third quarter of 2023; $1.2 million of severance-related expenses; and $0.7 million of rent and related expenses, net of sublease income, for previously vacated office spaces. The $9.4 million of restructuring charges incurred in the first nine months of 2023 included $3.5 million and $1.9 million of non-cash impairment charges on the right-of-use operating lease assets and fixed assets for our office spaces in Lexington, Massachusetts and Hillsboro, Oregon, respectively, which we exited in the first nine months of 2023; $2.2 million of severance-related expenses; $1.3 million of rent and related expenses, net of sublease income, for previously vacated office spaces; $0.3 million related to the abandonment of a capitalized software development project; and $0.2 million related to non-cash lease impairment charges driven by updated sublease assumptions for our previously vacated office spaces.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our restructuring charge liability by restructuring type for the nine months ended September 30, 2024.</w:t>
      </w:r>
    </w:p>
    <w:tbl>
      <w:tblPr>
        <w:tblW w:w="6477" w:type="dxa"/>
        <w:jc w:val="left"/>
        <w:tblInd w:w="0" w:type="dxa"/>
        <w:tblLayout w:type="fixed"/>
        <w:tblCellMar>
          <w:top w:w="28" w:type="dxa"/>
          <w:left w:w="28" w:type="dxa"/>
          <w:bottom w:w="28" w:type="dxa"/>
          <w:right w:w="28" w:type="dxa"/>
        </w:tblCellMar>
      </w:tblPr>
      <w:tblGrid>
        <w:gridCol w:w="938"/>
        <w:gridCol w:w="825"/>
        <w:gridCol w:w="831"/>
        <w:gridCol w:w="313"/>
        <w:gridCol w:w="891"/>
        <w:gridCol w:w="175"/>
        <w:gridCol w:w="109"/>
        <w:gridCol w:w="109"/>
        <w:gridCol w:w="109"/>
        <w:gridCol w:w="109"/>
        <w:gridCol w:w="109"/>
        <w:gridCol w:w="196"/>
        <w:gridCol w:w="421"/>
        <w:gridCol w:w="109"/>
        <w:gridCol w:w="109"/>
        <w:gridCol w:w="109"/>
        <w:gridCol w:w="109"/>
        <w:gridCol w:w="196"/>
        <w:gridCol w:w="55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color w:val="000000"/>
              </w:rPr>
              <w:t xml:space="preserve"> </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2024</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the $0.2 million restructuring charge liability related to employee costs at September 30, 2024 is expected to be paid in the next 12 months and is included as a component of accrued payroll and related benefits in our consolidated balance sheet. All of the $0.5 million other restructuring charge liability at September 30, 2024, which primarily relates to the early termination of a contract in a prior period, is expected to be paid in the next 12 months and is included as a component of accrued expenses and other current liabilities in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9.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Indian Rupee-denominated expenses of our operations in India. From time to time, we may enter into additional forward interest rate swaps or non-deliverable foreign exchange forward contracts to further hedge against our interest rate risk and foreign currency exchange rate risk. We do not use derivative instruments for trading or other speculative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designated all of our derivative instruments as cash flow hedges. Therefore, changes in the fair value of the interest rate swaps and foreign exchange forward contracts are recorded to other comprehensive income to the extent effective and reclassified to earnings upon settlement.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party to forward interest rate swap agreements with aggregate notional amounts of $300.0 million and $250.0 million as of September 30, 2024 and December 31, 2023, respectively. Under the terms of the interest rate swap agreements, we receive from the counterparty interest on the notional amount based on one month Term SOFR and we pay to the counterparty a stated, fixed rate. The forward interest rate swap agreements have staggered maturities through January 31, 2029.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September 30, 2024, it was anticipated that $1.8 million of the gains, net of tax, related to interest rate swaps currently recorded in accumulated other comprehensive income will be reclassified into interest expense, net of interest income in our consolidated statement of operations within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Foreign Exchange Forward Contracts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party to non-deliverable foreign exchange forward contracts that are scheduled to mature monthly through August 31, 2025. As of September 30, 2024 and December 31, 2023, the aggregate notional amounts of these contracts were INR 1,390.2 million, or $16.6 million, and INR 1,375.7 million, or $16.6 million, respectively, based on the exchange rates in effect as of each period end.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September 30, 2024, it was anticipated that the less than $0.1 million of losses, net of tax, related to foreign exchange forward contracts currently recorded in accumulated other comprehensive income will be reclassified into earnings in our consolidated statement of operations within the next 12 months.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as of September 30, 2024 and December 31, 2023.</w:t>
      </w:r>
    </w:p>
    <w:tbl>
      <w:tblPr>
        <w:tblW w:w="9129" w:type="dxa"/>
        <w:jc w:val="left"/>
        <w:tblInd w:w="0" w:type="dxa"/>
        <w:tblLayout w:type="fixed"/>
        <w:tblCellMar>
          <w:top w:w="28" w:type="dxa"/>
          <w:left w:w="28" w:type="dxa"/>
          <w:bottom w:w="28" w:type="dxa"/>
          <w:right w:w="28" w:type="dxa"/>
        </w:tblCellMar>
      </w:tblPr>
      <w:tblGrid>
        <w:gridCol w:w="977"/>
        <w:gridCol w:w="860"/>
        <w:gridCol w:w="863"/>
        <w:gridCol w:w="1104"/>
        <w:gridCol w:w="1104"/>
        <w:gridCol w:w="1107"/>
        <w:gridCol w:w="109"/>
        <w:gridCol w:w="109"/>
        <w:gridCol w:w="109"/>
        <w:gridCol w:w="276"/>
        <w:gridCol w:w="784"/>
        <w:gridCol w:w="155"/>
        <w:gridCol w:w="109"/>
        <w:gridCol w:w="109"/>
        <w:gridCol w:w="109"/>
        <w:gridCol w:w="269"/>
        <w:gridCol w:w="764"/>
        <w:gridCol w:w="212"/>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2023</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6,655 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1,945 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Refer to Note 11 “Other Comprehensive Income (Loss)” for additional information on our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10. 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 </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our fair value hierarchy for our financial assets and liabilities measured at fair value on a recurring basis as of September 30, 2024 and December 31, 2023.</w:t>
      </w:r>
    </w:p>
    <w:tbl>
      <w:tblPr>
        <w:tblW w:w="8651" w:type="dxa"/>
        <w:jc w:val="left"/>
        <w:tblInd w:w="0" w:type="dxa"/>
        <w:tblLayout w:type="fixed"/>
        <w:tblCellMar>
          <w:top w:w="28" w:type="dxa"/>
          <w:left w:w="28" w:type="dxa"/>
          <w:bottom w:w="28" w:type="dxa"/>
          <w:right w:w="28" w:type="dxa"/>
        </w:tblCellMar>
      </w:tblPr>
      <w:tblGrid>
        <w:gridCol w:w="1320"/>
        <w:gridCol w:w="1159"/>
        <w:gridCol w:w="1165"/>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101,593 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110,418 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Refer to Note 9 “Derivative Instruments and Hedging Activity” for additional information on our interest rate swaps.</w:t>
      </w:r>
    </w:p>
    <w:p>
      <w:pPr>
        <w:pStyle w:val="TextBody"/>
        <w:bidi w:val="0"/>
        <w:spacing w:lineRule="auto" w:line="288" w:before="180" w:after="283"/>
        <w:jc w:val="left"/>
        <w:rPr/>
      </w:pPr>
      <w:r>
        <w:rPr>
          <w:rFonts w:ascii="Arial Narrow;sans-serif" w:hAnsi="Arial Narrow;sans-serif"/>
          <w:b w:val="false"/>
          <w:i/>
          <w:color w:val="000000"/>
          <w:sz w:val="20"/>
        </w:rPr>
        <w:t>Foreign exchange forward contracts</w:t>
      </w:r>
      <w:r>
        <w:rPr>
          <w:rFonts w:ascii="Arial Narrow;sans-serif" w:hAnsi="Arial Narrow;sans-serif"/>
          <w:b w:val="false"/>
          <w:color w:val="000000"/>
          <w:sz w:val="20"/>
        </w:rPr>
        <w:t>: The fair values of our foreign exchange forward contracts were derived using estimates to settle the foreign exchange forward contracts agreements, which are based on the net present value of expected future cash flows on each contract utilizing market-based inputs, including both forward and spot prices, and a discount rate reflecting the risks involved. Refer to Note 9 “Derivative Instruments and Hedging Activity” for additional information on our foreign exchange forward contracts.</w:t>
      </w:r>
    </w:p>
    <w:p>
      <w:pPr>
        <w:pStyle w:val="TextBody"/>
        <w:bidi w:val="0"/>
        <w:spacing w:lineRule="auto" w:line="288" w:before="180" w:after="283"/>
        <w:jc w:val="left"/>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pStyle w:val="TextBody"/>
        <w:bidi w:val="0"/>
        <w:spacing w:lineRule="auto" w:line="288" w:before="180" w:after="283"/>
        <w:jc w:val="left"/>
        <w:rPr/>
      </w:pPr>
      <w:r>
        <w:rPr>
          <w:rFonts w:ascii="Arial Narrow;sans-serif" w:hAnsi="Arial Narrow;sans-serif"/>
          <w:b w:val="false"/>
          <w:i/>
          <w:color w:val="000000"/>
          <w:sz w:val="20"/>
        </w:rPr>
        <w:t>Convertible debt investment:</w:t>
      </w:r>
      <w:r>
        <w:rPr>
          <w:color w:val="000000"/>
        </w:rPr>
        <w:t xml:space="preserve">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investment is carried at fair value with unrealized holding gains and losses excluded from earnings and reported in other comprehensive income.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2027; the applicable waterfall distribution at the end of the expected holding period based on the rights and privileges of the various instruments; cash flow projections discounted at the risk-adjusted rate of 23.0% and 24.5% as of September 30, 2024 and December 31, 2023, respectively; and the concluded equity volatility of 40.0% and 35.0% as of September 30, 2024 and December 31, 2023, respectively,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convertible debt investment for the nine months ended September 30, 2024. </w:t>
      </w:r>
    </w:p>
    <w:tbl>
      <w:tblPr>
        <w:tblW w:w="5320" w:type="dxa"/>
        <w:jc w:val="left"/>
        <w:tblInd w:w="0" w:type="dxa"/>
        <w:tblLayout w:type="fixed"/>
        <w:tblCellMar>
          <w:top w:w="28" w:type="dxa"/>
          <w:left w:w="28" w:type="dxa"/>
          <w:bottom w:w="28" w:type="dxa"/>
          <w:right w:w="28" w:type="dxa"/>
        </w:tblCellMar>
      </w:tblPr>
      <w:tblGrid>
        <w:gridCol w:w="938"/>
        <w:gridCol w:w="825"/>
        <w:gridCol w:w="831"/>
        <w:gridCol w:w="109"/>
        <w:gridCol w:w="109"/>
        <w:gridCol w:w="109"/>
        <w:gridCol w:w="470"/>
        <w:gridCol w:w="1556"/>
        <w:gridCol w:w="373"/>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(11,095)</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56,951 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5.9% and 6.3% as of September 30, 2024 and December 31, 2023, respectively. The fair value of the contingent consideration is reassessed quarterly based on assumptions used in our latest projections and input provided by practice leaders and management. Any change in the fair value estimate is recorded to other gains, net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nine months ended September 30, 2024. </w:t>
      </w:r>
    </w:p>
    <w:tbl>
      <w:tblPr>
        <w:tblW w:w="7240"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934"/>
        <w:gridCol w:w="2651"/>
        <w:gridCol w:w="73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(1,356)</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165 </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Preferred Stock Investment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stock is not in-substance common stock that would warrant equity method accounting. After we reviewed all of the terms of the investment, we concluded the appropriate accounting treatment for our investment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the same or similar equity instrument occurred or if factors indicate that a significant decrease in value has occurred. We remeasure to the fair value of the preferred stock using such identified information with changes in the fair value recorded to other income (expense), net in our consolidated statement of operations. The carrying value of the preferred stock investment is recorded in long-term investments in our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first nine months of 2024 and 2023, there were no observable price changes or impairments of our preferred stock investment. Since our initial investment, we have recognized cumulative unrealized gains of $28.6 million and cumulative unrealized losses of $26.3 million. As of September 30, 2024 and December 31, 2023, the carrying value of our preferred stock investment was $7.4 million.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11. Other Comprehensive Income (Loss)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components of other comprehensive income (loss), net of tax, for the three and nine months ended September 30, 2024 and 2023.</w:t>
      </w:r>
    </w:p>
    <w:tbl>
      <w:tblPr>
        <w:tblW w:w="10205" w:type="dxa"/>
        <w:jc w:val="left"/>
        <w:tblInd w:w="0" w:type="dxa"/>
        <w:tblLayout w:type="fixed"/>
        <w:tblCellMar>
          <w:top w:w="28" w:type="dxa"/>
          <w:left w:w="28" w:type="dxa"/>
          <w:bottom w:w="28" w:type="dxa"/>
          <w:right w:w="28" w:type="dxa"/>
        </w:tblCellMar>
      </w:tblPr>
      <w:tblGrid>
        <w:gridCol w:w="1183"/>
        <w:gridCol w:w="951"/>
        <w:gridCol w:w="954"/>
        <w:gridCol w:w="196"/>
        <w:gridCol w:w="603"/>
        <w:gridCol w:w="109"/>
        <w:gridCol w:w="109"/>
        <w:gridCol w:w="109"/>
        <w:gridCol w:w="109"/>
        <w:gridCol w:w="205"/>
        <w:gridCol w:w="581"/>
        <w:gridCol w:w="115"/>
        <w:gridCol w:w="109"/>
        <w:gridCol w:w="109"/>
        <w:gridCol w:w="109"/>
        <w:gridCol w:w="196"/>
        <w:gridCol w:w="603"/>
        <w:gridCol w:w="109"/>
        <w:gridCol w:w="109"/>
        <w:gridCol w:w="109"/>
        <w:gridCol w:w="109"/>
        <w:gridCol w:w="196"/>
        <w:gridCol w:w="603"/>
        <w:gridCol w:w="109"/>
        <w:gridCol w:w="109"/>
        <w:gridCol w:w="109"/>
        <w:gridCol w:w="109"/>
        <w:gridCol w:w="238"/>
        <w:gridCol w:w="530"/>
        <w:gridCol w:w="133"/>
        <w:gridCol w:w="109"/>
        <w:gridCol w:w="109"/>
        <w:gridCol w:w="109"/>
        <w:gridCol w:w="196"/>
        <w:gridCol w:w="603"/>
        <w:gridCol w:w="157"/>
      </w:tblGrid>
      <w:tr>
        <w:trPr/>
        <w:tc>
          <w:tcPr>
            <w:tcW w:w="118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 2023</w:t>
            </w:r>
          </w:p>
        </w:tc>
      </w:tr>
      <w:tr>
        <w:trPr/>
        <w:tc>
          <w:tcPr>
            <w:tcW w:w="3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51"/>
        <w:gridCol w:w="917"/>
        <w:gridCol w:w="920"/>
        <w:gridCol w:w="196"/>
        <w:gridCol w:w="691"/>
        <w:gridCol w:w="109"/>
        <w:gridCol w:w="109"/>
        <w:gridCol w:w="109"/>
        <w:gridCol w:w="109"/>
        <w:gridCol w:w="205"/>
        <w:gridCol w:w="581"/>
        <w:gridCol w:w="115"/>
        <w:gridCol w:w="109"/>
        <w:gridCol w:w="109"/>
        <w:gridCol w:w="109"/>
        <w:gridCol w:w="196"/>
        <w:gridCol w:w="691"/>
        <w:gridCol w:w="109"/>
        <w:gridCol w:w="109"/>
        <w:gridCol w:w="109"/>
        <w:gridCol w:w="109"/>
        <w:gridCol w:w="196"/>
        <w:gridCol w:w="556"/>
        <w:gridCol w:w="109"/>
        <w:gridCol w:w="109"/>
        <w:gridCol w:w="109"/>
        <w:gridCol w:w="109"/>
        <w:gridCol w:w="196"/>
        <w:gridCol w:w="613"/>
        <w:gridCol w:w="109"/>
        <w:gridCol w:w="109"/>
        <w:gridCol w:w="109"/>
        <w:gridCol w:w="109"/>
        <w:gridCol w:w="196"/>
        <w:gridCol w:w="556"/>
        <w:gridCol w:w="158"/>
      </w:tblGrid>
      <w:tr>
        <w:trPr/>
        <w:tc>
          <w:tcPr>
            <w:tcW w:w="115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2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 2023</w:t>
            </w:r>
          </w:p>
        </w:tc>
      </w:tr>
      <w:tr>
        <w:trPr/>
        <w:tc>
          <w:tcPr>
            <w:tcW w:w="2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before tax amounts reclassified from accumulated other comprehensive income related to our interest rate swaps and foreign exchange forward contracts are recorded to interest expense, net of interest income and direct costs, respectively, on our consolidated statement of operations. The related tax amounts reclassified from accumulated other comprehensive income are recorded to income tax expense (benefit) on our consolidated statement of operations. Refer to Note 9 “Derivative Instruments and Hedging Activity” for additional information on our derivative instruments.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Accumulated other comprehensive income, net of tax, includes the following components:</w:t>
      </w:r>
      <w:r>
        <w:rPr>
          <w:color w:val="000000"/>
        </w:rPr>
        <w:t> </w:t>
      </w:r>
    </w:p>
    <w:tbl>
      <w:tblPr>
        <w:tblW w:w="10205" w:type="dxa"/>
        <w:jc w:val="left"/>
        <w:tblInd w:w="0" w:type="dxa"/>
        <w:tblLayout w:type="fixed"/>
        <w:tblCellMar>
          <w:top w:w="28" w:type="dxa"/>
          <w:left w:w="28" w:type="dxa"/>
          <w:bottom w:w="28" w:type="dxa"/>
          <w:right w:w="28" w:type="dxa"/>
        </w:tblCellMar>
      </w:tblPr>
      <w:tblGrid>
        <w:gridCol w:w="585"/>
        <w:gridCol w:w="491"/>
        <w:gridCol w:w="494"/>
        <w:gridCol w:w="349"/>
        <w:gridCol w:w="1017"/>
        <w:gridCol w:w="195"/>
        <w:gridCol w:w="109"/>
        <w:gridCol w:w="109"/>
        <w:gridCol w:w="109"/>
        <w:gridCol w:w="382"/>
        <w:gridCol w:w="1261"/>
        <w:gridCol w:w="214"/>
        <w:gridCol w:w="109"/>
        <w:gridCol w:w="109"/>
        <w:gridCol w:w="109"/>
        <w:gridCol w:w="267"/>
        <w:gridCol w:w="758"/>
        <w:gridCol w:w="148"/>
        <w:gridCol w:w="109"/>
        <w:gridCol w:w="109"/>
        <w:gridCol w:w="109"/>
        <w:gridCol w:w="520"/>
        <w:gridCol w:w="920"/>
        <w:gridCol w:w="293"/>
        <w:gridCol w:w="109"/>
        <w:gridCol w:w="109"/>
        <w:gridCol w:w="109"/>
        <w:gridCol w:w="196"/>
        <w:gridCol w:w="646"/>
        <w:gridCol w:w="161"/>
      </w:tblGrid>
      <w:tr>
        <w:trPr/>
        <w:tc>
          <w:tcPr>
            <w:tcW w:w="5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Available-for-Sale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20,039 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period change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September 30, 2024</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(2,624)</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11,831 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9,746 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12.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2024, our effective tax rate was 27.8% as we recognized income tax expense of $10.4 million on income of $37.6 million. The effective tax rate of 27.8% was less favorable than the statutory rate, inclusive of state income taxes, of 26.1%, primarily due to certain nondeductible expense items. These unfavorable items were partially offset by a tax benefit related to non-taxable gains on our investments used to fund our deferred compensation liability.</w:t>
      </w:r>
    </w:p>
    <w:p>
      <w:pPr>
        <w:pStyle w:val="TextBody"/>
        <w:bidi w:val="0"/>
        <w:spacing w:lineRule="auto" w:line="288" w:before="180" w:after="283"/>
        <w:jc w:val="left"/>
        <w:rPr/>
      </w:pPr>
      <w:r>
        <w:rPr>
          <w:rFonts w:ascii="Arial Narrow;sans-serif" w:hAnsi="Arial Narrow;sans-serif"/>
          <w:b w:val="false"/>
          <w:color w:val="000000"/>
          <w:sz w:val="20"/>
        </w:rPr>
        <w:t xml:space="preserve">For the three months ended September 30, 2023, our effective tax rate was 31.2% as we recognized income tax expense of $9.8 million on income of $31.3 million. The effective tax rate of 31.2% was less favorable than the statutory rate, inclusive of state income taxes, of 26.6%, primarily due to </w:t>
      </w:r>
      <w:r>
        <w:rPr>
          <w:rFonts w:ascii="Arial Narrow;sans-serif" w:hAnsi="Arial Narrow;sans-serif"/>
          <w:b w:val="false"/>
          <w:color w:val="000000"/>
          <w:sz w:val="20"/>
          <w:shd w:fill="FFFFFF" w:val="clear"/>
        </w:rPr>
        <w:t>tax expense related to nondeductible losses on our investments used to fund our deferred compensation liability and</w:t>
      </w:r>
      <w:r>
        <w:rPr>
          <w:color w:val="000000"/>
        </w:rPr>
        <w:t xml:space="preserve"> </w:t>
      </w:r>
      <w:r>
        <w:rPr>
          <w:rFonts w:ascii="Arial Narrow;sans-serif" w:hAnsi="Arial Narrow;sans-serif"/>
          <w:b w:val="false"/>
          <w:color w:val="000000"/>
          <w:sz w:val="20"/>
        </w:rPr>
        <w:t>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2024, our effective tax rate was 22.9% as we recognized income tax expense of $24.6 million on income of $107.2 million. The effective tax rate of 22.9% was more favorable than the statutory rate, inclusive of state income taxes, of 26.1%, primarily due to a discrete tax benefit for share-based compensation awards that vested during the first quarter of 2024 and a tax benefit related to non-taxable gains on our investments used to fund our deferred compensation liability. These favorable items were partially offset by certain nondeductible expense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2023, our effective tax rate was 27.4% as we recognized income tax expense of $22.5 million on income of $82.1 million. The effective tax rate of 27.4% was less favorable than the statutory rate, inclusive of state income taxes, of 26.6%, primarily due to certain nondeductible expense items. These unfavorable items were partially offset by a discrete tax benefit for share-based compensation awards that vested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13. Commitments, Contingencies and Guarantees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Litigation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2024, we recognized a pre-tax $15.0 million litigation settlement gain related to a completed legal matter in which Huron was the plaintiff, which is included in other gains, net on our consolidated statement of operations. As of September 30, 2024, all of the $15.0 million settlement was received.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Guarantees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$0.6 million and $0.5 million were outstanding at September 30, 2024 and December 31, 2023, respectively, which are used as security deposits for our office facilities.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certain business acquisitions, we may be required to pay post-closing consideration to the sellers if specific financial performance targets are met over a number of years as specified in the related purchase agreements. As of September 30, 2024 and December 31, 2023, the total estimated fair value of our outstanding contingent consideration liability was $0.2 million and $2.1 million,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14.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cost and care delivery transformation; digital offerings, spanning technology and analytic-related services, including enterprise health record (“EHR”), enterprise resource planning (“ERP”) and enterprise performance management (“EPM”), customer relationship management (“CRM”), data management and technology managed services, and a portfolio of software products; organizational transformation; revenue cycle managed services and outsourcing; financial and capital advisory consulting; and strategy and innovation consulting.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Education segment serves public and private colleges and universities, research institutes and other education-related organizations. Our education and research-focused services and products include our digital offerings, spanning technology and analytic-related services, including student information systems, ERP and EPM, CRM, data management and technology managed services and our Huron Research Suite product suite (the leading software suite designed to facilitate and improve research administration service delivery and compliance); our research-focused consulting and managed services; and our strategy and operations consulting services, which span finance, accounting, operations and philanthropy functions, organization and talent strategy, and student and academic strategy.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financial advisory (special situation advisory and corporate finance advisory) services, and strategy and innovation consulting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We manage our segments on the basis of revenues before reimbursable expenses, which we believe is the most accurate reflection of our services because it eliminates the effect of reimbursable expenses that we bill to our clients at cost. Unallocated corporate expenses include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information about our operating segments for the three and nine months ended September 30, 2024 and 2023, along with the items necessary to reconcile the segment information to the totals reported in the accompanying consolidated financial statements. </w:t>
      </w:r>
    </w:p>
    <w:tbl>
      <w:tblPr>
        <w:tblW w:w="10205" w:type="dxa"/>
        <w:jc w:val="left"/>
        <w:tblInd w:w="0" w:type="dxa"/>
        <w:tblLayout w:type="fixed"/>
        <w:tblCellMar>
          <w:top w:w="28" w:type="dxa"/>
          <w:left w:w="28" w:type="dxa"/>
          <w:bottom w:w="28" w:type="dxa"/>
          <w:right w:w="28" w:type="dxa"/>
        </w:tblCellMar>
      </w:tblPr>
      <w:tblGrid>
        <w:gridCol w:w="1543"/>
        <w:gridCol w:w="1330"/>
        <w:gridCol w:w="1343"/>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87"/>
      </w:tblGrid>
      <w:tr>
        <w:trPr/>
        <w:tc>
          <w:tcPr>
            <w:tcW w:w="154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179,177 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553,976 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501,994 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147,591 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325,884 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81,906 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77,112 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65,865 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194,954 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39,971 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25,918 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367,466 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1,122,491 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1,048,750 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94,953 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268,695 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245,377 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Unallocated corporate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143,386 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129,765 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13,441 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121,769 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95,492 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(6,047)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(13,365)</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37,581 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107,236 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82,127 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56"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tables illustrate the disaggregation of segment total revenues and segment revenues before reimbursable expenses by our two principal capabilities: i) Consulting and Managed Services and ii) Digital, and includes a reconciliation to consolidated revenues before reimbursable expenses and consolidated total revenues.</w:t>
      </w:r>
    </w:p>
    <w:tbl>
      <w:tblPr>
        <w:tblW w:w="8336"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Total Revenues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398,352 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517,124 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332,865 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198,761 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649,757 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605,486 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00"/>
        <w:gridCol w:w="1405"/>
        <w:gridCol w:w="1412"/>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5"/>
      </w:tblGrid>
      <w:tr>
        <w:trPr/>
        <w:tc>
          <w:tcPr>
            <w:tcW w:w="16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144,766 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501,994 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163,394 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194,954 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and nine months ended September 30, 2024 and 2023, substantially all of our revenues were recognized over time. During the three and nine months ended September 30, 2024 and 2023, no single client generated greater than 10% of our consolidated total revenues. At September 30, 2024 and December 31, 2023, no single client accounted for greater than 10% of our combined balance of receivables from clients, net and unbilled services,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15" w:type="dxa"/>
        <w:jc w:val="left"/>
        <w:tblInd w:w="0" w:type="dxa"/>
        <w:tblLayout w:type="fixed"/>
        <w:tblCellMar>
          <w:top w:w="28" w:type="dxa"/>
          <w:left w:w="28" w:type="dxa"/>
          <w:bottom w:w="28" w:type="dxa"/>
          <w:right w:w="28" w:type="dxa"/>
        </w:tblCellMar>
      </w:tblPr>
      <w:tblGrid>
        <w:gridCol w:w="250"/>
        <w:gridCol w:w="219"/>
        <w:gridCol w:w="221"/>
        <w:gridCol w:w="2525"/>
        <w:gridCol w:w="2525"/>
        <w:gridCol w:w="357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bidi w:val="0"/>
        <w:spacing w:lineRule="auto" w:line="288" w:before="80" w:after="283"/>
        <w:jc w:val="left"/>
        <w:rPr>
          <w:rFonts w:ascii="Arial Narrow;sans-serif" w:hAnsi="Arial Narrow;sans-serif"/>
          <w:b w:val="false"/>
          <w:i/>
          <w:color w:val="000000"/>
          <w:sz w:val="20"/>
        </w:rPr>
      </w:pPr>
      <w:r>
        <w:rPr>
          <w:rFonts w:ascii="Arial Narrow;sans-serif" w:hAnsi="Arial Narrow;sans-serif"/>
          <w:b w:val="false"/>
          <w:i/>
          <w:color w:val="000000"/>
          <w:sz w:val="20"/>
        </w:rPr>
        <w:t>In this Quarterly Report on Form 10-Q, unless the context otherwise requires, the terms “Huron,” “Company,” “we,” “us” and “our” refer to Huron Consulting Group Inc. and its subsidiaries.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2023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collaborates with clients to put possible into practice by creating sound strategies, optimizing operations, accelerating digital transformation, and empowering businesses and their people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combination of our deep industry expertise and breadth of our offerings is the foundation of our growth strategy and why our clients choose Huron as their trusted advisor. Key focus areas of our growth strategy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Accelerating Growth in Healthcare and Education: </w:t>
      </w:r>
      <w:r>
        <w:rPr>
          <w:rFonts w:ascii="Arial Narrow;sans-serif" w:hAnsi="Arial Narrow;sans-serif"/>
          <w:b w:val="false"/>
          <w:color w:val="000000"/>
          <w:sz w:val="20"/>
        </w:rPr>
        <w:t>Huron has leading market positions in healthcare and education, providing comprehensive offerings to the largest health systems, academic medical centers, colleges and universities, and research institutes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Growing Presence in Commercial Industries: </w:t>
      </w:r>
      <w:r>
        <w:rPr>
          <w:rFonts w:ascii="Arial Narrow;sans-serif" w:hAnsi="Arial Narrow;sans-serif"/>
          <w:b w:val="false"/>
          <w:color w:val="000000"/>
          <w:sz w:val="20"/>
        </w:rPr>
        <w:t>Huron’s commercial industry focus has increased the diversification of the Company’s portfolio and end markets while expanding the range of capabilities it can deliver to clients, providing new avenues for growth and an important balance to its healthcare and education focus.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Rapidly Growing Global Digital Capability:</w:t>
      </w:r>
      <w:r>
        <w:rPr>
          <w:color w:val="000000"/>
        </w:rPr>
        <w:t xml:space="preserve"> </w:t>
      </w:r>
      <w:r>
        <w:rPr>
          <w:rFonts w:ascii="Arial Narrow;sans-serif" w:hAnsi="Arial Narrow;sans-serif"/>
          <w:b w:val="false"/>
          <w:color w:val="000000"/>
          <w:sz w:val="20"/>
        </w:rPr>
        <w:t>Huron’s ability to provide a broad portfolio of digital offerings that support the strategic and operational needs of its clients is at the foundation of the Company’s strategy. Huron will continue to advance its integrated digital platform to support its strong growth trajectory.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Solid Foundation for Margin Expansion: </w:t>
      </w:r>
      <w:r>
        <w:rPr>
          <w:rFonts w:ascii="Arial Narrow;sans-serif" w:hAnsi="Arial Narrow;sans-serif"/>
          <w:b w:val="false"/>
          <w:color w:val="000000"/>
          <w:sz w:val="20"/>
        </w:rPr>
        <w:t>The Company is well-positioned to achieve consistent margin expansion as well as strong annual adjusted diluted earnings per share growth. We are committed to operating income margin expansion by growing the areas of the business that provide the most attractive returns, improving the operational efficiency of our delivery for clients, and scaling our selling, general, and administrative expenses as we grow.</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Strong Balance Sheet and Cash Flows: </w:t>
      </w:r>
      <w:r>
        <w:rPr>
          <w:rFonts w:ascii="Arial Narrow;sans-serif" w:hAnsi="Arial Narrow;sans-serif"/>
          <w:b w:val="false"/>
          <w:color w:val="000000"/>
          <w:sz w:val="20"/>
        </w:rPr>
        <w:t>Strong free cash flows have and will continue to be a hallmark of Huron’s financial strength and business model. The Company is committed to deploying capital in a strategic and balanced way, including returning capital to shareholders and executing strategic, tuck-in acquisitions.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provide our services and products and manage our business under three operating segments: Healthcare, Education, and Commercial. The Commercial segment includes all industries outside of healthcare and education, including, but not limited to, financial services and energy and utilities. We also provide revenue reporting across two principal capabilities: i) Consulting and Managed Services and ii) Digital, which are methods by which we deliver our services and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cost and care delivery transformation; digital offerings, spanning technology and analytic-related services, including enterprise health record (“EHR”), enterprise resource planning (“ERP”) and enterprise performance management (“EPM”), customer relationship management (“CRM”), data management and technology managed services, and a portfolio of software products; organizational transformation; revenue cycle managed services and outsourcing; financial and capital advisory consulting; and strategy and innovation consulting.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best serve our clients, we continue to diversify our portfolio of offerings. For example, we have broadened our capabilities beyond our leading profit and loss-focused offerings (e.g., revenue cycle, cost transformation) into offerings dedicated to optimizing our clients' financial positions through financial advisory and transaction-related services; transforming care delivery models through virtual health, health equity and social determinants of health models; and evolving organizations by supporting change management and developing the next generation of leaders by applying our best practices (e.g., revenue cycle leadership). </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and other education-related organizations. Our education and research-focused services and products include our digital offerings, spanning technology and analytic-related services, including student information systems, ERP and EPM, CRM, data management and technology managed services and our Huron Research Suite product suite (the leading software suite designed to facilitate and improve research administration service delivery and compliance); our research-focused consulting and managed services; and our strategy and operations consulting services, which span finance, accounting, operations and philanthropy functions, organization and talent strategy, and student and academic strategy. We continue to broaden our offerings into new areas. Most recently, we expanded our research managed services, advancement, campus health and well-being, and athletics offerings.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financial advisory (special situation advisory and corporate finance advisory) services, and strategy and innovation consulting services.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Within each of our operating segments, we provide our offerings under two principal capabilities: i) Consulting and Managed Services and ii) Digital.</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Consulting and Managed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managed services and outsourcing at our healthcare, education and research-focused clients, where our projects are often coupled with our digital services and product offerings and management consulting services to sustain improved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Digital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 We have invested organically and inorganically to expand our Digital offerings, which now span beyond traditional ERP implementations into a broader set of administrative systems, industry-specific systems of record and systems of engagement that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the “digital front door” to an organization. We also have grown our data, analytics and automation offerings to deliver a unified and actionable technology ecosystem for our clients.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25 technology partners. We are a Leading Modern Oracle Network Partner; a Summit-level consulting partner with Salesforce.com and a Premium Partner with Salesforce.org; a Workday Services, Preferred Channel, Extend, and Application Management Services Partner; an Amazon Web Services consulting partner; an Informatica Platinum Partner; an SAP Concur implementation partner; and a Boomi Elite Partner.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2024 Best in KLAS® Software &amp; Services report; and Huron Intelligence™ Analytic Suite in Healthcare, a predictive analytics suite to improve care delivery while lowering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Total Revenues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before reimbursable expenses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before reimbursable expenses from providing professional services and software products under the following four types of billing arrangements: fixed-fee (including software license revenue);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Fixed-fee (including software license revenue):</w:t>
      </w:r>
      <w:r>
        <w:rPr>
          <w:color w:val="000000"/>
        </w:rPr>
        <w:t xml:space="preserve"> </w:t>
      </w:r>
      <w:r>
        <w:rPr>
          <w:rFonts w:ascii="Arial Narrow;sans-serif" w:hAnsi="Arial Narrow;sans-serif"/>
          <w:b w:val="false"/>
          <w:color w:val="000000"/>
          <w:sz w:val="20"/>
        </w:rPr>
        <w:t xml:space="preserve">In fixed-fee billing arrangements, we agree to a pre-established fee in exchange for a predetermined set of professional services. We set the fees based on our estimates of the costs and timing for completing the engagements. Fixed-fee arrangements also include software licenses for our revenue cycle management software and research administration and compliance software.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Time-and-expense:</w:t>
      </w:r>
      <w:r>
        <w:rPr>
          <w:color w:val="000000"/>
        </w:rPr>
        <w:t xml:space="preserve"> </w:t>
      </w:r>
      <w:r>
        <w:rPr>
          <w:rFonts w:ascii="Arial Narrow;sans-serif" w:hAnsi="Arial Narrow;sans-serif"/>
          <w:b w:val="false"/>
          <w:color w:val="000000"/>
          <w:sz w:val="20"/>
        </w:rPr>
        <w:t xml:space="preserve">Under time-and-expense billing arrangements, we invoice our clients based on the number of hours worked by our revenue-generating professionals at agreed upon rates. Time-and-expense arrangements also include speaking engagements, conferences and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Performance-based: </w:t>
      </w:r>
      <w:r>
        <w:rPr>
          <w:rFonts w:ascii="Arial Narrow;sans-serif" w:hAnsi="Arial Narrow;sans-serif"/>
          <w:b w:val="false"/>
          <w:color w:val="000000"/>
          <w:sz w:val="20"/>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Software support, maintenance and subscriptions: </w:t>
      </w:r>
      <w:r>
        <w:rPr>
          <w:rFonts w:ascii="Arial Narrow;sans-serif" w:hAnsi="Arial Narrow;sans-serif"/>
          <w:b w:val="false"/>
          <w:color w:val="000000"/>
          <w:sz w:val="20"/>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We manage our business on the basis of revenues before reimbursable expenses, which we believe is the most accurate reflection of our services because it eliminates the effect of reimbursable expenses that we bill to our clients at cost.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Operating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consist primarily of compensation costs for our support personnel. Also included in selling, general and administrative expenses are third-party professional fees, software licenses and data hosting expenses, rent and other office related expenses, sales and marketing related expenses, recruiting and training expenses, and practice administration and meetings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operating expenses include restructuring charges, other gains and losses, depreciation expense, and amortization expense related to internally developed software costs and intangible assets acquired in business combinations.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corporate expenses not allocated at the segment level include costs related to administrative functions that are performed in a centralized manner and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also assess our results of operations using the following non-GAAP financial measures: earnings before interest, taxes, depreciation and amortization (“EBITDA”), adjusted EBITDA, adjusted EBITDA as a percentage of revenues before reimbursable expenses,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bidi w:val="0"/>
        <w:spacing w:lineRule="auto" w:line="288" w:before="180" w:after="283"/>
        <w:jc w:val="left"/>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were not impacted by these items. We do not include normal, recurring, cash operating expenses in our restructuring charges.</w:t>
      </w:r>
    </w:p>
    <w:p>
      <w:pPr>
        <w:pStyle w:val="TextBody"/>
        <w:bidi w:val="0"/>
        <w:spacing w:lineRule="auto" w:line="288" w:before="180" w:after="283"/>
        <w:jc w:val="left"/>
        <w:rPr/>
      </w:pPr>
      <w:r>
        <w:rPr>
          <w:rFonts w:ascii="Arial Narrow;sans-serif" w:hAnsi="Arial Narrow;sans-serif"/>
          <w:b w:val="false"/>
          <w:i/>
          <w:color w:val="000000"/>
          <w:sz w:val="20"/>
        </w:rPr>
        <w:t>2024 litigation settlement gain:</w:t>
      </w:r>
      <w:r>
        <w:rPr>
          <w:color w:val="000000"/>
        </w:rPr>
        <w:t> </w:t>
      </w:r>
      <w:r>
        <w:rPr>
          <w:rFonts w:ascii="Arial Narrow;sans-serif" w:hAnsi="Arial Narrow;sans-serif"/>
          <w:b w:val="false"/>
          <w:color w:val="000000"/>
          <w:sz w:val="20"/>
        </w:rPr>
        <w:t>In the second quarter of 2024, we settled a litigation matter in which Huron was the plaintiff for $15.0 million, on a pre-tax basis. This $15.0 million settlement gain was recorded as a component of other gains, net on our consolidated statement of operations. We have excluded from our non-GAAP measures $11.7 million, which is the value of the settlement gain that exceeds the third-party legal costs incurred during 2024 specific to this litigation matter, as this net gain is not indicative of the ongoing performance of our business. Of the $3.3 million third-party legal costs incurred for this matter in 2024, $2.7 million was incurred in the first quarter and $0.6 million was incurred in the second quarter. Our third-party legal expenses are recorded as a component of selling, general and administrative expenses on our statement of operations. Third-party legal costs incurred for this litigation matter during the three and nine months ended September 30, 2023 were $1.2 million and $2.2 million, respectively.</w:t>
      </w:r>
    </w:p>
    <w:p>
      <w:pPr>
        <w:pStyle w:val="TextBody"/>
        <w:bidi w:val="0"/>
        <w:spacing w:lineRule="auto" w:line="288" w:before="180" w:after="283"/>
        <w:jc w:val="left"/>
        <w:rPr/>
      </w:pPr>
      <w:r>
        <w:rPr>
          <w:rFonts w:ascii="Arial Narrow;sans-serif" w:hAnsi="Arial Narrow;sans-serif"/>
          <w:b w:val="false"/>
          <w:i/>
          <w:color w:val="000000"/>
          <w:sz w:val="20"/>
        </w:rPr>
        <w:t>Other losses (gains), net:</w:t>
      </w:r>
      <w:r>
        <w:rPr>
          <w:color w:val="000000"/>
        </w:rPr>
        <w:t> </w:t>
      </w:r>
      <w:r>
        <w:rPr>
          <w:rFonts w:ascii="Arial Narrow;sans-serif" w:hAnsi="Arial Narrow;sans-serif"/>
          <w:b w:val="false"/>
          <w:color w:val="000000"/>
          <w:sz w:val="20"/>
        </w:rPr>
        <w:t>We exclude the effects of other losses and gains, which primarily relate to changes in the estimated fair value of our liabilities for contingent consideration related to business acquisitions and litigation settlement losses and gains, excluding the 2024 litigation settlement gain presented separately, to permit comparability with periods that are not impacted by these items. These items are recorded as a component of other gains, net on our consolidated statement of operations.</w:t>
      </w:r>
    </w:p>
    <w:p>
      <w:pPr>
        <w:pStyle w:val="TextBody"/>
        <w:bidi w:val="0"/>
        <w:spacing w:lineRule="auto" w:line="288" w:before="180" w:after="283"/>
        <w:jc w:val="left"/>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To permit comparability with prior periods, we exclude the impact of third-party advisory, legal, and accounting fees and other corporate costs incurred directly related to the evaluation and/or consummation of business acquisitions.</w:t>
      </w:r>
    </w:p>
    <w:p>
      <w:pPr>
        <w:pStyle w:val="TextBody"/>
        <w:bidi w:val="0"/>
        <w:spacing w:lineRule="auto" w:line="288" w:before="180" w:after="283"/>
        <w:jc w:val="left"/>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bidi w:val="0"/>
        <w:spacing w:lineRule="auto" w:line="288" w:before="180" w:after="283"/>
        <w:jc w:val="left"/>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bidi w:val="0"/>
        <w:spacing w:lineRule="auto" w:line="288" w:before="180" w:after="283"/>
        <w:jc w:val="left"/>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Utilization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Highlights from the third quarter of 2024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Revenues before reimbursable expenses increased 3.3% to $370.0 million for the third quarter of 2024 from $358.2 million for the third quarter of 2023.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Net income as a percentage of total revenues increased to 7.2% for the third quarter of 2024, compared to 5.9% for the third quarter of 2023.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EBITDA as a percentage of revenues before reimbursable expenses increased to 14.8% for the third quarter of 2024, compared to 13.4% for the third quarter of 2023.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Diluted EPS increased 33.6% to $1.47 for the third quarter of 2024, compared to $1.10 for the third quarter of 2023.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diluted EPS increased 20.9% to $1.68 for the third quarter of 2024, compared to $1.39 for the third quarter of 2023.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cash provided by operating activities increased 23.9% to $85.2 million for the third quarter of 2024, compared to $68.8 million for the third quarter of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before reimbursable expenses increased $11.9 million, or 3.3%, to $370.0 million for the third quarter of 2024 from $358.2 million for the third quarter of 2023. The increase in revenues before reimbursable expenses was driven by an increase in demand for Education's Consulting and Managed Services and Digital capabilities, as well as continued strength in demand for Healthcare's Digital capability, reflecting our focus on accelerating growth in our healthcare and education industries. These increases in demand were partially offset by a decrease in demand for Commercial's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within our Consulting and Managed Services capability were $214.5 million in the third quarter of 2024, compared to $214.7 million in the third quarter of 2023; and reflected strengthened demand in the Education segment, offset by a decrease in demand in our Commercial and Healthcare segments. The utilization rate within our Consulting capability decreased to 73.6% in the third quarter of 2024, compared to 77.3% in the third quarter of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before reimbursable expenses within our Digital capability increased 8.4% in the third quarter of 2024 to $155.5 million, compared to $143.5 million in the third quarter of 2023, and reflected strengthened demand in all of our segments. The utilization rate within our Digital capability increased to 77.2% in the third quarter of 2024, compared to 75.4% in the third quarter of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total number of revenue-generating professionals increased 10.4% to 5,896 as of September 30, 2024, compared to 5,341 as of September 30, 2023, as a result of hiring to support the overall increase in demand for our services.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increased $5.6 million, or 26.2%, to $27.1 million, or 7.2% of total revenues, for the three months ended September 30, 2024 from $21.5 million, or 5.9% of total revenues, for the same period last year. As a result of the increase in net income and a reduction in diluted shares outstanding resulting from share repurchases made under our share repurchase plan, diluted earnings per share for the third quarter of 2024 increased 33.6% to $1.47, compared to $1.10 for the third quarter of 2023. Adjusted diluted earnings per share increased 20.9% to $1.68 for the third quarter of 2024, compared to $1.39 for the third quarter of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$6.9 million, or 14.3%, to $54.9 million, or 14.8% of revenues before reimbursable expenses, for the three months ended September 30, 2024, compared to $48.0 million, or 13.4% of revenues before reimbursable expenses, for the same period last year.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 for the third quarter of 2024 was $85.2 million, compared to $68.8 million for the third quarter of 2023. The increase in net cash provided by operating activities was primarily related to an increase in cash collections during the third quarter of 2024 compared to the third quarter of 2023, as well as the cash received for the settlement of a legal matter in which Huron was the plaintiff; partially offset by an increase in payments for salaries and related expenses for our revenue-generating professionals during the third quarter of 2024 compared to the third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for the periods indicated, selected segment and consolidated operating results and other operating data, including non-GAAP measures.</w:t>
      </w:r>
    </w:p>
    <w:tbl>
      <w:tblPr>
        <w:tblW w:w="10205" w:type="dxa"/>
        <w:jc w:val="left"/>
        <w:tblInd w:w="0" w:type="dxa"/>
        <w:tblLayout w:type="fixed"/>
        <w:tblCellMar>
          <w:top w:w="28" w:type="dxa"/>
          <w:left w:w="28" w:type="dxa"/>
          <w:bottom w:w="28" w:type="dxa"/>
          <w:right w:w="28" w:type="dxa"/>
        </w:tblCellMar>
      </w:tblPr>
      <w:tblGrid>
        <w:gridCol w:w="1588"/>
        <w:gridCol w:w="1147"/>
        <w:gridCol w:w="1154"/>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87"/>
      </w:tblGrid>
      <w:tr>
        <w:trPr/>
        <w:tc>
          <w:tcPr>
            <w:tcW w:w="158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88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88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179,177 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553,976 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501,994 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147,591 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325,884 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81,906 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77,112 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65,865 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194,954 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39,971 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25,918 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367,466 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1,122,491 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1,048,750 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143,386 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129,765 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13,441 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121,769 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95,492 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(13,365)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107,236 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82,127 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22,480 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82,637 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59,647 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Number of revenue-generating professionals by segment (at period end)</w:t>
            </w:r>
            <w:r>
              <w:rPr>
                <w:rFonts w:ascii="Arial Narrow;sans-serif" w:hAnsi="Arial Narrow;sans-serif"/>
                <w:b/>
                <w:color w:val="000000"/>
                <w:sz w:val="13"/>
              </w:rPr>
              <w:t>(1)</w:t>
            </w: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w:t>
            </w:r>
            <w:r>
              <w:rPr>
                <w:rFonts w:ascii="Arial Narrow;sans-serif" w:hAnsi="Arial Narrow;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634,415 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589,137 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463,249 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433,695 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3"/>
        <w:gridCol w:w="1615"/>
        <w:gridCol w:w="1624"/>
        <w:gridCol w:w="109"/>
        <w:gridCol w:w="109"/>
        <w:gridCol w:w="109"/>
        <w:gridCol w:w="286"/>
        <w:gridCol w:w="270"/>
        <w:gridCol w:w="320"/>
        <w:gridCol w:w="144"/>
        <w:gridCol w:w="144"/>
        <w:gridCol w:w="144"/>
        <w:gridCol w:w="286"/>
        <w:gridCol w:w="270"/>
        <w:gridCol w:w="320"/>
        <w:gridCol w:w="109"/>
        <w:gridCol w:w="109"/>
        <w:gridCol w:w="109"/>
        <w:gridCol w:w="286"/>
        <w:gridCol w:w="270"/>
        <w:gridCol w:w="304"/>
        <w:gridCol w:w="137"/>
        <w:gridCol w:w="137"/>
        <w:gridCol w:w="137"/>
        <w:gridCol w:w="286"/>
        <w:gridCol w:w="270"/>
        <w:gridCol w:w="368"/>
      </w:tblGrid>
      <w:tr>
        <w:trPr/>
        <w:tc>
          <w:tcPr>
            <w:tcW w:w="1933"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517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517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capability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2,483 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2,858 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5,341 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Utilization rate by capability </w:t>
            </w:r>
            <w:r>
              <w:rPr>
                <w:rFonts w:ascii="Arial Narrow;sans-serif" w:hAnsi="Arial Narrow;sans-serif"/>
                <w:b/>
                <w:color w:val="000000"/>
                <w:sz w:val="13"/>
              </w:rPr>
              <w:t>(6)</w:t>
            </w: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72.5 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76.5 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73.7 </w:t>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left"/>
        <w:rPr/>
      </w:pPr>
      <w:r>
        <w:rPr/>
      </w:r>
    </w:p>
    <w:p>
      <w:pPr>
        <w:pStyle w:val="TextBody"/>
        <w:bidi w:val="0"/>
        <w:spacing w:lineRule="auto" w:line="288" w:before="0" w:after="60"/>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(1)During the first quarter of 2024, we reclassified certain revenue-generating professionals within our Digital capability from our Healthcare and Education segments to our Commercial segment as these professionals are able to provide services across all of our industries. This reclassification did not impact the total Digital capability headcount for any period. The prior period headcount has been revised for consistent presentation.</w:t>
      </w:r>
    </w:p>
    <w:p>
      <w:pPr>
        <w:pStyle w:val="TextBody"/>
        <w:bidi w:val="0"/>
        <w:spacing w:lineRule="auto" w:line="288" w:before="0" w:after="0"/>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(2)The majority of our revenue-generating professionals within our Commercial segment can provide services across all of our industries, including healthcare and education, and the related costs of these professionals are allocated to each of the segments.</w:t>
      </w:r>
    </w:p>
    <w:p>
      <w:pPr>
        <w:pStyle w:val="TextBody"/>
        <w:bidi w:val="0"/>
        <w:spacing w:lineRule="auto" w:line="288" w:before="60" w:after="283"/>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(3)During the first quarter of 2024, we reclassified one of the offerings within Education's Consulting capability to Education's Managed Services capability. Revenues before reimbursable expenses generated by this offering during the quarters ended March 31, 2023, June 30, 2023, September 30, 2023, and December 31, 2023 were $2.8 million, $2.2 million, $2.4 million, and $2.7 million, respectively, and during the years ended December 31, 2022 and 2023 were $15.0 million and $10.1 million, respectively. The number of revenue-generating professionals within this offering as of December 31, 2022, March 31, 2023, June 30, 2023, September 30, 2023 and December 31, 2023 were 54, 24, 24, 24 and 23,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This reclassification did not impact the aggregate revenues before reimbursable expenses or headcount reported for the Education Consulting and Managed Services capability for any period, and the prior period Education Managed Services capability revenues before reimbursable expenses and headcount in the following footnotes have been revised for consistent presentation. </w:t>
      </w:r>
    </w:p>
    <w:p>
      <w:pPr>
        <w:pStyle w:val="TextBody"/>
        <w:bidi w:val="0"/>
        <w:spacing w:lineRule="auto" w:line="288" w:before="60" w:after="283"/>
        <w:ind w:left="0" w:right="0" w:hanging="630"/>
        <w:jc w:val="left"/>
        <w:rPr/>
      </w:pPr>
      <w:r>
        <w:rPr>
          <w:rFonts w:ascii="Arial Narrow;sans-serif" w:hAnsi="Arial Narrow;sans-serif"/>
          <w:b w:val="false"/>
          <w:color w:val="000000"/>
          <w:sz w:val="18"/>
        </w:rPr>
        <w:t>(4)</w:t>
      </w:r>
      <w:r>
        <w:rPr>
          <w:rFonts w:ascii="Arial Narrow;sans-serif" w:hAnsi="Arial Narrow;sans-serif"/>
          <w:b w:val="false"/>
          <w:color w:val="000000"/>
          <w:sz w:val="20"/>
        </w:rPr>
        <w:t>Managed Services capability revenues before reimbursable expenses within our Healthcare segment was $19.3 million and $16.7 million for the three months ended September 30, 2024 and 2023, respectively; and $53.5 million and $53.8 million for the nine months ended September 30, 2024 and 2023,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Managed Services capability revenues before reimbursable expenses within our Education segment was $6.6 million and $7.4 million for the three months ended September 30, 2024 and 2023, respectively; and $20.8 million and $22.0 million for the nine months ended September 30, 2024 and 2023, respectively.</w:t>
      </w:r>
    </w:p>
    <w:p>
      <w:pPr>
        <w:pStyle w:val="TextBody"/>
        <w:bidi w:val="0"/>
        <w:spacing w:lineRule="auto" w:line="288" w:before="60" w:after="283"/>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(5)The number of Managed Services revenue-generating professionals within our Healthcare segment was 1,223 and 757 as of September 30, 2024 and 2023,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revenue-generating professionals within our Education segment was 122 and 129 as of September 30, 2024 and 2023, respectively.</w:t>
      </w:r>
    </w:p>
    <w:p>
      <w:pPr>
        <w:pStyle w:val="TextBody"/>
        <w:bidi w:val="0"/>
        <w:spacing w:lineRule="auto" w:line="288" w:before="60" w:after="283"/>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(6)Utilization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10205" w:type="dxa"/>
        <w:jc w:val="left"/>
        <w:tblInd w:w="0" w:type="dxa"/>
        <w:tblLayout w:type="fixed"/>
        <w:tblCellMar>
          <w:top w:w="28" w:type="dxa"/>
          <w:left w:w="28" w:type="dxa"/>
          <w:bottom w:w="28" w:type="dxa"/>
          <w:right w:w="28" w:type="dxa"/>
        </w:tblCellMar>
      </w:tblPr>
      <w:tblGrid>
        <w:gridCol w:w="1627"/>
        <w:gridCol w:w="1291"/>
        <w:gridCol w:w="1297"/>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88"/>
      </w:tblGrid>
      <w:tr>
        <w:trPr/>
        <w:tc>
          <w:tcPr>
            <w:tcW w:w="162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25,918 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378,089 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367,466 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1,122,491 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1,048,750 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27,149 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21,516 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82,637 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59,647 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 as a percentage of total revenues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5.7 </w:t>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22,480 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15,146 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19,183 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146,097 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116,456 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9,385 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2024 litigation settlement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(gains),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144,372 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125,977 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 as a percentage of revenues before reimbursable expenses</w:t>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12.3 </w:t>
            </w:r>
          </w:p>
        </w:tc>
        <w:tc>
          <w:tcPr>
            <w:tcW w:w="2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8370" w:type="dxa"/>
        <w:jc w:val="center"/>
        <w:tblInd w:w="0" w:type="dxa"/>
        <w:tblLayout w:type="fixed"/>
        <w:tblCellMar>
          <w:top w:w="28" w:type="dxa"/>
          <w:left w:w="28" w:type="dxa"/>
          <w:bottom w:w="28" w:type="dxa"/>
          <w:right w:w="28" w:type="dxa"/>
        </w:tblCellMar>
      </w:tblPr>
      <w:tblGrid>
        <w:gridCol w:w="1280"/>
        <w:gridCol w:w="1128"/>
        <w:gridCol w:w="1132"/>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2024 litigation settlement gain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Three Months Ended September 30, 2024 Compared to Three Months Ended September 30,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by segment and capability for the three months ended September 30, 2024 and 2023 were as follows:</w:t>
      </w:r>
    </w:p>
    <w:tbl>
      <w:tblPr>
        <w:tblW w:w="9683" w:type="dxa"/>
        <w:jc w:val="left"/>
        <w:tblInd w:w="0" w:type="dxa"/>
        <w:tblLayout w:type="fixed"/>
        <w:tblCellMar>
          <w:top w:w="28" w:type="dxa"/>
          <w:left w:w="28" w:type="dxa"/>
          <w:bottom w:w="28" w:type="dxa"/>
          <w:right w:w="28" w:type="dxa"/>
        </w:tblCellMar>
      </w:tblPr>
      <w:tblGrid>
        <w:gridCol w:w="1668"/>
        <w:gridCol w:w="1465"/>
        <w:gridCol w:w="1472"/>
        <w:gridCol w:w="109"/>
        <w:gridCol w:w="109"/>
        <w:gridCol w:w="109"/>
        <w:gridCol w:w="196"/>
        <w:gridCol w:w="736"/>
        <w:gridCol w:w="109"/>
        <w:gridCol w:w="109"/>
        <w:gridCol w:w="109"/>
        <w:gridCol w:w="109"/>
        <w:gridCol w:w="196"/>
        <w:gridCol w:w="736"/>
        <w:gridCol w:w="109"/>
        <w:gridCol w:w="109"/>
        <w:gridCol w:w="109"/>
        <w:gridCol w:w="109"/>
        <w:gridCol w:w="196"/>
        <w:gridCol w:w="647"/>
        <w:gridCol w:w="109"/>
        <w:gridCol w:w="109"/>
        <w:gridCol w:w="109"/>
        <w:gridCol w:w="109"/>
        <w:gridCol w:w="224"/>
        <w:gridCol w:w="226"/>
        <w:gridCol w:w="286"/>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Revenues before Reimbursable Expenses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before reimbursable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before reimbursable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370,049 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increased $11.9 million, or 3.3%, to $370.0 million for the third quarter of 2024 from $358.2 million for the third quarter of 2023. The overall increase in revenues before reimbursable expenses was driven by an increase in demand for Education's Consulting and Managed Services and Digital capabilities, as well as continued strength in demand for Healthcare's Digital capability, reflecting our focus on accelerating growth in our healthcare and education industries. These increases in demand were partially offset by a decrease in demand for Commercial's Consulting and Managed Services capability. Additional information on our revenues before reimbursable expenses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revenues before reimbursable expenses increased $4.0 million, or 2.2%, driven by continued strength in demand for our technology and analytics services within our Digital capability, as well as an increase in demand for our revenue cycle managed services solution within our Consulting and Managed services capability. These increases in demand were partially offset by decreases in demand for our financial advisory and strategy and innovation solutions within our Consulting and Managed Services capability. Revenues before reimbursable expenses in the third quarter of 2024 included $0.1 million of incremental revenues before reimbursable expenses from our acquisition of Roundtable Analytics completed in September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Healthcare segment grew 30.0% to 2,442 as of September 30, 2024, compared to 1,878 as of September 30, 2023.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revenues before reimbursable expenses increased $10.0 million, or 9.0%, and includes $5.7 million of incremental revenues before reimbursable expenses from our acquisition of GG+A completed in March 2024. The increase in Education revenues before reimbursable expenses was also driven by strengthened demand for our technology and analytics services and software products within our Digital capability.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Education segment grew 3.9% to 1,250 as of September 30, 2024, compared to 1,203 as of September 30, 2023. Our acquisition of GG+A in March 2024 added approximately 70 revenue-generating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revenues before reimbursable expenses decreased $2.1 million, or 3.1%, primarily due to decreases in demand for our financial advisory and strategy and innovation solutions within our Consulting and Managed Services capability, partially offset by an increase in demand for our technology and analytics services within our Digital capability. Revenues before reimbursable expenses in the third quarter of 2024 included $0.3 million of incremental revenues before reimbursable expenses from our acquisition of Vlamis completed in January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Commercial segment, the majority of which provide services across all of our industries, was 2,204 as of September 30, 2024 compared to 2,260 as of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third quarter of 2024 increased $5.5 million, or 1.7%, over the third quarter of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before reimbursable expenses were as follows:</w:t>
      </w:r>
    </w:p>
    <w:tbl>
      <w:tblPr>
        <w:tblW w:w="10205" w:type="dxa"/>
        <w:jc w:val="left"/>
        <w:tblInd w:w="0" w:type="dxa"/>
        <w:tblLayout w:type="fixed"/>
        <w:tblCellMar>
          <w:top w:w="28" w:type="dxa"/>
          <w:left w:w="28" w:type="dxa"/>
          <w:bottom w:w="28" w:type="dxa"/>
          <w:right w:w="28" w:type="dxa"/>
        </w:tblCellMar>
      </w:tblPr>
      <w:tblGrid>
        <w:gridCol w:w="1523"/>
        <w:gridCol w:w="1339"/>
        <w:gridCol w:w="1346"/>
        <w:gridCol w:w="109"/>
        <w:gridCol w:w="109"/>
        <w:gridCol w:w="109"/>
        <w:gridCol w:w="196"/>
        <w:gridCol w:w="736"/>
        <w:gridCol w:w="109"/>
        <w:gridCol w:w="109"/>
        <w:gridCol w:w="109"/>
        <w:gridCol w:w="109"/>
        <w:gridCol w:w="157"/>
        <w:gridCol w:w="157"/>
        <w:gridCol w:w="158"/>
        <w:gridCol w:w="109"/>
        <w:gridCol w:w="109"/>
        <w:gridCol w:w="109"/>
        <w:gridCol w:w="196"/>
        <w:gridCol w:w="736"/>
        <w:gridCol w:w="109"/>
        <w:gridCol w:w="109"/>
        <w:gridCol w:w="109"/>
        <w:gridCol w:w="109"/>
        <w:gridCol w:w="161"/>
        <w:gridCol w:w="161"/>
        <w:gridCol w:w="162"/>
        <w:gridCol w:w="109"/>
        <w:gridCol w:w="109"/>
        <w:gridCol w:w="109"/>
        <w:gridCol w:w="284"/>
        <w:gridCol w:w="810"/>
        <w:gridCol w:w="230"/>
      </w:tblGrid>
      <w:tr>
        <w:trPr/>
        <w:tc>
          <w:tcPr>
            <w:tcW w:w="152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 before reimbursable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(2,265)</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5,520 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$3.1 million, or 1.3%, to $247.8 million for the third quarter of 2024 from $244.8 million for the third quarter of 2023. The $3.1 million increase primarily related to an $8.9 million increase in compensation costs for our revenue-generating professionals and a $1.0 million increase in technology costs, partially offset by a $7.0 million decrease in contractor expenses. The increase in compensation costs reflects our investment to grow our talented team to meet increased market demand and is primarily attributable to a $16.9 million increase in salaries and related expenses driven by increased headcount and annual salary increases that went into effect in the first quarter of 2024; partially offset by a $4.5 million decrease in performance bonus expense, a $2.2 million decrease in share-based compensation expense, and a $1.3 million decrease in signing, retention and other bonus expense. As a percentage of revenues before reimbursable expenses, direct costs decreased to 67.0% during the third quarter of 2024, compared to 68.3% during the third quarter of 2023. This decrease was primarily due to the decreases in contractor expenses, performance bonus expense and share-based compensation expense for our revenue-generating professionals; partially offset by the increase in salaries and related expenses for our revenue-generating professionals, as a percentage of revenues before reimbursable expenses.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increased by $6.0 million, or 9.3%, to $70.4 million in the third quarter of 2024 from $64.4 million in the third quarter of 2023. The $6.0 million increase primarily related to a $3.8 million increase in compensation costs for our support personnel driven by a $3.3 million increase in deferred compensation expense attributable to the change in market value of our deferred compensation liability and a $3.1 million increase in salaries and related expenses; partially offset by a $1.3 million decrease in share-based compensation expense and a $1.2 million decrease in performance bonus expense. The increase in deferred compensation expense is offset by an increase in the gain recognized for the change in the market value of investments that are used to fund our deferred compensation liability and recognized in other income (expense), net. Additionally, selling, general and administrative expenses increased $2.3 million for non-payroll costs driven by a $1.3 million increase in software and data hosting expense, a $0.7 million increase in bad debt expense, and a $0.6 million increase in research expense; partially offset by a $1.3 million decrease in legal expenses. As a percentage of revenues before reimbursable expenses, selling, general and administrative expenses increased to 19.0% during the third quarter of 2024, compared to 18.0% during the third quarter of 2023, which was primarily driven by the increase in deferred compensation expense attributable to the change in market value of our deferred compensation liability, as a percentage of revenues before reimbursable expenses.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Gains,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 totaled $0.2 million in the third quarter of 2024 compared to less than $0.1 million in the third quarter of 2023. The other gains, net in both the third quarter of 2024 and the third quarter of 2023 primarily related to remeasurement gains to decrease the fair value of our contingent consideration liabilities related to business combinations.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10 “Fair Value of Financial Instruments” within the notes to our consolidated financial statements for additional information on the fair value of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Restructuring charges for the third quarter of 2024 were $3.1 million, compared to $5.4 million for the third quarter of 2023. The $3.1 million restructuring charge recognized in the third quarter of 2024 included $1.3 million of severance-related expenses; a $1.2 million non-cash impairment charge on the right-of-use operating lease asset and fixed assets for a portion of our New York, New York office space that we exited during the third quarter of 2024; and $0.6 million of rent and related expenses, net of sublease income, for previously vacated office spaces.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$5.4 million of restructuring charges recognized in the third quarter of 2023 included a $3.5 million non-cash impairment charge on the right-of-use operating lease asset and fixed assets for our office space in Lexington, Massachusetts that we exited during the third quarter of 2023; $1.2 million of severance-related expenses; and $0.7 million of rent and related expenses, net of sublease income, for previously vacated office spaces.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increased $0.2 million, or 3.6%, to $6.3 million in the third quarter of 2024, compared to $6.1 million in the third quarter of 2023. The $0.2 million increase in depreciation and amortization expense was primarily attributable to an increase in amortization of internally developed software, partially offset by a decrease in amortization of intangible assets.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 increased $5.1 million, or 13.7%, to $42.4 million in the third quarter of 2024 from $37.3 million in the third quarter of 2023. Operating margin, which is defined as operating income expressed as a percentage of revenues before reimbursable expenses was 11.5% for the three months ended September 30, 2024, compared to 10.4% for the three months ended September 30, 2023.</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as well as unallocated corporate expenses were as follows: </w:t>
      </w:r>
    </w:p>
    <w:tbl>
      <w:tblPr>
        <w:tblW w:w="10205" w:type="dxa"/>
        <w:jc w:val="left"/>
        <w:tblInd w:w="0" w:type="dxa"/>
        <w:tblLayout w:type="fixed"/>
        <w:tblCellMar>
          <w:top w:w="28" w:type="dxa"/>
          <w:left w:w="28" w:type="dxa"/>
          <w:bottom w:w="28" w:type="dxa"/>
          <w:right w:w="28" w:type="dxa"/>
        </w:tblCellMar>
      </w:tblPr>
      <w:tblGrid>
        <w:gridCol w:w="1525"/>
        <w:gridCol w:w="1340"/>
        <w:gridCol w:w="1344"/>
        <w:gridCol w:w="109"/>
        <w:gridCol w:w="109"/>
        <w:gridCol w:w="109"/>
        <w:gridCol w:w="196"/>
        <w:gridCol w:w="646"/>
        <w:gridCol w:w="109"/>
        <w:gridCol w:w="109"/>
        <w:gridCol w:w="109"/>
        <w:gridCol w:w="109"/>
        <w:gridCol w:w="165"/>
        <w:gridCol w:w="165"/>
        <w:gridCol w:w="166"/>
        <w:gridCol w:w="109"/>
        <w:gridCol w:w="109"/>
        <w:gridCol w:w="109"/>
        <w:gridCol w:w="196"/>
        <w:gridCol w:w="646"/>
        <w:gridCol w:w="109"/>
        <w:gridCol w:w="109"/>
        <w:gridCol w:w="109"/>
        <w:gridCol w:w="109"/>
        <w:gridCol w:w="165"/>
        <w:gridCol w:w="165"/>
        <w:gridCol w:w="166"/>
        <w:gridCol w:w="109"/>
        <w:gridCol w:w="109"/>
        <w:gridCol w:w="109"/>
        <w:gridCol w:w="314"/>
        <w:gridCol w:w="896"/>
        <w:gridCol w:w="257"/>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Unallocated Corporate Expenses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$2.8 million, or 5.9%, primarily due to a decrease in contractor expenses and the increase in revenues before reimbursable expenses; partially offset by an increase in compensation costs for our revenue-generating professionals. The increase in compensation costs for our revenue-generating professionals was primarily driven by an increase in headcount and annual salary increases that went into effect in the first quarter of 2024; partially offset by decreases in share-based compensation expense and performance bonus expense. Healthcare operating margin increased to 27.1% from 26.2% primarily due to the decrease in contractor expenses; partially offset by an increase in compensation costs for our revenue-generating professionals, as a percentage of revenues before reimbursable expenses.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increased $2.6 million, or 9.8%, primarily due to the increase in revenues before reimbursable expenses; partially offset by increases in compensation costs for our revenue-generating professionals and support personnel. The increases in compensation costs for our revenue-generating professionals and support personnel were primarily driven by an increase in headcount and annual salary increases that went into effect in the first quarter of 2024, partially offset by decreases in share-based compensation expense and performance bonus expense for our revenue-generating professionals. Education operating margin increased to 24.1% from 23.9% primarily driven by the decreases in performance bonus expense and share-based compensation expense for our revenue-generating professionals and contractor expenses; partially offset by an increase in salaries and related expenses for our revenue-generating professionals and support personnel, as percentages of revenues before reimbursable expenses.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operating income increased $0.7 million, or 4.6%, primarily due to decreases in compensation costs for our revenue-generating professionals and contractor expenses; partially offset by the decrease in revenues before reimbursable expenses. The decrease in compensation costs for our revenue-generating professionals was primarily driven by a decrease in performance bonus expense, partially offset by an increase in headcount and annual salary increases that went into effect in the first quarter of 2024. Commercial operating margin increased to 24.5% from 22.7% primarily due to decreases in performance bonus expenses for our revenue-generating professionals, contractor expenses and signing, retention and other bonus expense for our revenue-generating professionals, as percentages of revenues before reimbursable expenses; partially offset by the increases in salaries and related expenses for our revenue-generating professionals.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Unallocated corporate expenses</w:t>
      </w:r>
      <w:r>
        <w:rPr>
          <w:color w:val="000000"/>
        </w:rPr>
        <w:t xml:space="preserve"> </w:t>
      </w:r>
      <w:r>
        <w:rPr>
          <w:rFonts w:ascii="Arial Narrow;sans-serif" w:hAnsi="Arial Narrow;sans-serif"/>
          <w:b w:val="false"/>
          <w:color w:val="000000"/>
          <w:sz w:val="20"/>
        </w:rPr>
        <w:t>increased $3.7 million, or 8.6%, primarily due to increases in compensation costs for our support personnel and software and data hosting expenses; partially offset by a decrease in legal expenses. The increase in compensation costs for our support personnel was primarily driven by an increase in deferred compensation expense attributable to the change in market value of our deferred compensation liability and an increase in headcount and annual salary increases that went into effect in the first quarter of 2024; partially offset by a decrease in share-based compensation expense.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$1.8 million to $6.8 million in the third quarter of 2024 from $5.0 million in the third quarter of 2023, which was primarily attributable to higher levels of borrowing and higher interest rates under our Amended Credit Facility during the third quarter of 2024 compared to the third quarter of 2023. See “Liquidity and Capital Resources” below and Note 7 “Financing Arrangements” within the notes to our consolidated financial statements for additional information about our Amended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 increased $2.9 million to income of $1.9 million in the third quarter of 2024 from expense of $1.0 million in the third quarter of 2023. The increase in other income, net includes a $3.5 million increase in the gain recognized for the market value of our investments that are used to fund our deferred compensation liability. During the third quarter of 2024 we recognized a $2.2 million gain for the market value of our deferred compensation investments compared to a $1.3 million loss recognized in the third quarter of 2023. Additionally, other income (expense), net includes a $0.3 million foreign currency loss during the third quarter of 2024 compared to a $0.3 million foreign currency gain during the third quarter of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2024, our effective tax rate was 27.8% as we recognized income tax expense of $10.4 million on income of $37.6 million. The effective tax rate of 27.8% was less favorable than the statutory rate, inclusive of state income taxes, of 26.1%, primarily due to certain nondeductible expense items. These unfavorable items were partially offset by a tax benefit related to non-taxable gains on our investments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September 30, 2023, our effective tax rate was 31.2% as we recognized income tax expense of $9.8 million on income of $31.3 million. The effective tax rate of 31.2% was less favorable than the statutory rate, inclusive of state income taxes, of 26.6%, primarily due to tax expense related to nondeductible losses on our investments used to fund our deferred compensation liability and certain nondeductible expense items.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increased $5.6 million, or 26.2%, to $27.1 million for the three months ended September 30, 2024 from $21.5 million for the same period last year. Diluted earnings per share for the third quarter of 2024 increased to $1.47 from $1.10 for the third quarter of 2023, driven by the increase in net income and a reduction in diluted shares outstanding resulting from share repurchases made under our share repurchase plan.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increased $8.3 million to $50.9 million for the third quarter of 2024 from $42.6 million for the third quarter of 2023. The increase in EBITDA was primarily attributable to the increases in Healthcare and Education segment operating income, excluding segment depreciation and amortization; a decrease in corporate restructuring charges; and a decrease in unallocated corporate expenses, excluding the impact of the change in the market value of our deferred compensation liability.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EBITDA increased $6.9 million to $54.9 million in the third quarter of 2024 from $48.0 million in the third quarter of 2023. The increase in adjusted EBITDA was primarily attributable to the increases in Education, Healthcare and Commercial operating income, excluding the impact of segment depreciation and amortization and segment restructuring charges.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net income increased $3.9 million, or 14.3%, to $31.1 million in the third quarter of 2024, compared to $27.2 million in the third quarter of 2023. As a result of the increase in adjusted net income as well as a reduction in diluted shares outstanding resulting from share repurchases made under our share repurchase plan, adjusted diluted earnings per share increased to $1.68 for the third quarter of 2024 compared to $1.39 for the third quarter of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Nine Months Ended September 30, 2024 Compared to Nine Months Ended September 30,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by segment and capability for the nine months ended September 30, 2024 and 2023 were as follows:</w:t>
      </w:r>
    </w:p>
    <w:tbl>
      <w:tblPr>
        <w:tblW w:w="9969" w:type="dxa"/>
        <w:jc w:val="left"/>
        <w:tblInd w:w="0" w:type="dxa"/>
        <w:tblLayout w:type="fixed"/>
        <w:tblCellMar>
          <w:top w:w="28" w:type="dxa"/>
          <w:left w:w="28" w:type="dxa"/>
          <w:bottom w:w="28" w:type="dxa"/>
          <w:right w:w="28" w:type="dxa"/>
        </w:tblCellMar>
      </w:tblPr>
      <w:tblGrid>
        <w:gridCol w:w="1668"/>
        <w:gridCol w:w="1465"/>
        <w:gridCol w:w="1472"/>
        <w:gridCol w:w="109"/>
        <w:gridCol w:w="109"/>
        <w:gridCol w:w="109"/>
        <w:gridCol w:w="196"/>
        <w:gridCol w:w="871"/>
        <w:gridCol w:w="109"/>
        <w:gridCol w:w="109"/>
        <w:gridCol w:w="109"/>
        <w:gridCol w:w="109"/>
        <w:gridCol w:w="196"/>
        <w:gridCol w:w="871"/>
        <w:gridCol w:w="109"/>
        <w:gridCol w:w="109"/>
        <w:gridCol w:w="109"/>
        <w:gridCol w:w="109"/>
        <w:gridCol w:w="196"/>
        <w:gridCol w:w="647"/>
        <w:gridCol w:w="109"/>
        <w:gridCol w:w="109"/>
        <w:gridCol w:w="109"/>
        <w:gridCol w:w="109"/>
        <w:gridCol w:w="233"/>
        <w:gridCol w:w="233"/>
        <w:gridCol w:w="286"/>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Revenues before Reimbursable Expenses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1,097,664 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increased $74.8 million, or 7.3%, to $1.10 billion for the first nine months of 2024 from $1.02 billion for the first nine months of 2023. The overall increase in revenues before reimbursable expenses reflects continued strength in demand for both our Consulting and Managed Services capability and Digital capability within Healthcare and Education, and reflects our focus on accelerating growth in our healthcare and education industries. These increases in demand were partially offset by a decrease in demand for Commercial's Digital and Consulting and Managed Services capabilities. Additional information on our revenues before reimbursable expense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revenues before reimbursable expenses increased $52.0 million, or 10.4%, driven by continued strength in demand for our technology and analytics services within our Digital capability and our performance improvement, strategy and innovation and culture and organizational excellence solutions within our Consulting and Managed Services capability. These increases in demand were partially offset by a decrease in demand for our financial advisory solution within our Consulting and Managed services capability. Revenues before reimbursable expenses in the first nine months of 2024 included $0.6 million of incremental revenues before reimbursable expenses from our acquisition of Roundtable Analytics completed in September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Healthcare segment grew 30.0% to 2,442 as of September 30, 2024, compared to 1,878 as of September 30, 2023.</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revenues before reimbursable expenses increased $29.5 million, or 9.1%, and includes $13.8 million of incremental revenues from our acquisition of GG+A completed in March 2024. The increase in Education revenues before reimbursable expenses was also driven by continued strength in demand for our technology and analytics services and software products within our Digital capability and our strategy and operations solution within our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Education segment grew 3.9% to 1,250 as of September 30, 2024, compared to 1,203 as of September 30, 2023. Our acquisition of GG+A in March 2024 added approximately 70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revenues before reimbursable expenses decreased $6.7 million, or 3.4%, primarily due to decreases in demand for our strategy and innovation solution within our Consulting and Managed Services capability and our technology and analytics services within our Digital capability, partially offset by an increase in demand for our financial advisory solutions within our Consulting and Managed Services capability. Revenues before reimbursable expenses in the first nine months of 2024 included $0.4 million of incremental revenues before reimbursable expenses from our acquisition of Vlamis completed in January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Commercial segment, the majority of which provide services across all of our industries, was 2,204 as of September 30, 2024, compared to 2,260 as of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first nine months of 2024 increased $47.5 million, or 5.0%, over the first nine months of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before reimbursable expenses were as follows:</w:t>
      </w:r>
    </w:p>
    <w:tbl>
      <w:tblPr>
        <w:tblW w:w="10205" w:type="dxa"/>
        <w:jc w:val="left"/>
        <w:tblInd w:w="0" w:type="dxa"/>
        <w:tblLayout w:type="fixed"/>
        <w:tblCellMar>
          <w:top w:w="28" w:type="dxa"/>
          <w:left w:w="28" w:type="dxa"/>
          <w:bottom w:w="28" w:type="dxa"/>
          <w:right w:w="28" w:type="dxa"/>
        </w:tblCellMar>
      </w:tblPr>
      <w:tblGrid>
        <w:gridCol w:w="1480"/>
        <w:gridCol w:w="1301"/>
        <w:gridCol w:w="1308"/>
        <w:gridCol w:w="109"/>
        <w:gridCol w:w="109"/>
        <w:gridCol w:w="109"/>
        <w:gridCol w:w="196"/>
        <w:gridCol w:w="871"/>
        <w:gridCol w:w="109"/>
        <w:gridCol w:w="109"/>
        <w:gridCol w:w="109"/>
        <w:gridCol w:w="109"/>
        <w:gridCol w:w="160"/>
        <w:gridCol w:w="160"/>
        <w:gridCol w:w="161"/>
        <w:gridCol w:w="109"/>
        <w:gridCol w:w="109"/>
        <w:gridCol w:w="109"/>
        <w:gridCol w:w="196"/>
        <w:gridCol w:w="736"/>
        <w:gridCol w:w="109"/>
        <w:gridCol w:w="109"/>
        <w:gridCol w:w="109"/>
        <w:gridCol w:w="109"/>
        <w:gridCol w:w="156"/>
        <w:gridCol w:w="156"/>
        <w:gridCol w:w="157"/>
        <w:gridCol w:w="109"/>
        <w:gridCol w:w="109"/>
        <w:gridCol w:w="109"/>
        <w:gridCol w:w="256"/>
        <w:gridCol w:w="849"/>
        <w:gridCol w:w="209"/>
      </w:tblGrid>
      <w:tr>
        <w:trPr/>
        <w:tc>
          <w:tcPr>
            <w:tcW w:w="14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 before reimbursable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708,355 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41,402 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23,628 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953,258 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47,464 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$41.4 million, or 5.8%, to $749.8 million for the first nine months of 2024 from $708.4 million for the first nine months of 2023. The $41.4 million increase primarily related to a $52.4 million increase in compensation costs for our revenue-generating professionals and a $3.1 million increase in technology costs, partially offset by a $13.0 million decrease in contractor expenses. The $52.4 million increase in compensation costs reflects our investment to grow our talented team to meet increased market demand and is primarily attributable to a $58.1 million increase in salaries and related expenses driven by increased headcount and annual salary increases that went into effect in the first quarter of 2024; partially offset by a $2.8 million decrease in performance bonus expense and a $2.5 million decrease in signing, retention and other bonus expense. As a percentage of revenues before reimbursable expenses, direct costs decreased to 68.3% during the first nine months of 2024, compared to 69.3% during the first nine months of 2023, primarily attributable to the decrease in contractor expenses and performance bonus expense for our revenue-generating professionals; partially offset by an increase in salaries and related expenses for our revenue-generating professionals, as a percentage of revenues before reimbursable expenses.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$23.6 million, or 12.4%, to $214.5 million in the first nine months of 2024 from $190.9 million in the first nine months of 2023. The $23.6 million increase primarily related to a $15.0 million increase in non-payroll costs, driven by a $3.5 million increase in software and data hosting expenses, a $3.4 million increase in practice administration and meetings expenses, a $3.0 million increase in bad debt expense, and a $2.6 million increase in legal expenses. The increase in legal expenses is driven by professional fees for a completed legal matter in which Huron was the plaintiff as well as professional fees for acquisition activity. Additionally, selling, general and administrative expenses increased $8.8 million due to an increase in compensation costs for our support personnel driven by a $10.1 million increase in salaries and related expenses and a $3.2 million increase in deferred compensation expense attributable to the change in market value of our deferred compensation liability, partially offset by a $2.5 million decrease in performance bonus expense and a $1.1 million decrease in share-based compensation expense. The increase in deferred compensation expense is offset by an increase in the gain recognized for the change in the market value of investments that are used to fund our deferred compensation liability and recognized in other income (expense), net. As a percentage of revenues before reimbursable expenses, selling, general and administrative expenses increased to 19.5% during the first nine months of 2024, compared to 18.7% during the first nine months of 2023. This increase was primarily attributable to the increases in salaries and related expenses for our support personnel and deferred compensation expense attributable to the change in market value of our deferred compensation liability, as percentages of revenues before reimbursable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Gains,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gains, net totaled $14.5 million in the first nine months of 2024 and $0.2 million in the first nine months of 2023. The $14.5 million of other gains, net in the first nine months of 2024 primarily consisted of a pre-tax $15.0 million litigation settlement gain for a completed legal matter in which Huron was the plaintiff. The $0.2 million of other gains, net in the first nine months of 2023 primarily consisted of remeasurement gains to decrease the fair value of our contingent consideration liabilities related to business combinations.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10 “Fair Value of Financial Instruments” within the notes to our consolidated financial statements for additional information on the fair value of contingent consideration liabilities.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first nine months of 2024 were $7.5 million, compared to $9.4 million for the first nine months of 2023. The $7.5 million restructuring charge recognized in the first nine months of 2024 included $2.3 million of severance-related expenses; $1.7 million of rent and related expenses, net of sublease income, for previously vacated office spaces; a $1.4 million non-cash lease impairment charge on the right-of-use operating lease asset and fixed assets of office space previously occupied by GG+A; a $1.2 million non-cash impairment charge on the right-of-use operating lease asset and fixed assets for a portion of our office space in New York, New York, which we exited during the third quarter of 2024; and $0.8 million related to non-cash lease impairment charges driven by updated sublease assumptions for our previously vacated office spaces.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$9.4 million of restructuring charges incurred in the first nine months of 2023 included $3.5 million and $1.9 million of non-cash impairment charges on the right-of-use operating lease assets and fixed assets for our office spaces in Lexington, Massachusetts and Hillsboro, Oregon, respectively, which we exited in the first nine months of 2023; $2.2 million of severance-related expenses; $1.3 million of rent and related expenses, net of sublease income, for previously vacated office spaces; $0.3 million related to the abandonment of a capitalized software development project; and $0.2 million related to non-cash lease impairment charges driven by updated sublease assumptions for our previously vacated office spaces.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decreased $0.3 million, or 1.6%, to $18.3 million for the first nine months of 2024, compared to $18.6 million for the first nine months of 2023. The $0.3 million decrease in depreciation and amortization expense was primarily attributable to a decrease in amortization of intangible assets, partially offset by an increase in amortization of internally developed software.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increased $26.3 million, or 27.5%, to $121.8 million in the first nine months of 2024 from $95.5 million in the first nine months of 2023. Operating margin, which is defined as operating income expressed as a percentage of revenues before reimbursable expenses, increased to 11.1% for the first nine months of 2024, compared to 9.3% for the first nine months of 2023.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as well as unallocated corporate expenses were as follows: </w:t>
      </w:r>
    </w:p>
    <w:tbl>
      <w:tblPr>
        <w:tblW w:w="10205" w:type="dxa"/>
        <w:jc w:val="left"/>
        <w:tblInd w:w="0" w:type="dxa"/>
        <w:tblLayout w:type="fixed"/>
        <w:tblCellMar>
          <w:top w:w="28" w:type="dxa"/>
          <w:left w:w="28" w:type="dxa"/>
          <w:bottom w:w="28" w:type="dxa"/>
          <w:right w:w="28" w:type="dxa"/>
        </w:tblCellMar>
      </w:tblPr>
      <w:tblGrid>
        <w:gridCol w:w="1470"/>
        <w:gridCol w:w="1292"/>
        <w:gridCol w:w="1296"/>
        <w:gridCol w:w="109"/>
        <w:gridCol w:w="109"/>
        <w:gridCol w:w="109"/>
        <w:gridCol w:w="196"/>
        <w:gridCol w:w="736"/>
        <w:gridCol w:w="109"/>
        <w:gridCol w:w="109"/>
        <w:gridCol w:w="109"/>
        <w:gridCol w:w="109"/>
        <w:gridCol w:w="164"/>
        <w:gridCol w:w="164"/>
        <w:gridCol w:w="165"/>
        <w:gridCol w:w="109"/>
        <w:gridCol w:w="109"/>
        <w:gridCol w:w="109"/>
        <w:gridCol w:w="196"/>
        <w:gridCol w:w="736"/>
        <w:gridCol w:w="109"/>
        <w:gridCol w:w="109"/>
        <w:gridCol w:w="109"/>
        <w:gridCol w:w="109"/>
        <w:gridCol w:w="164"/>
        <w:gridCol w:w="164"/>
        <w:gridCol w:w="165"/>
        <w:gridCol w:w="109"/>
        <w:gridCol w:w="109"/>
        <w:gridCol w:w="109"/>
        <w:gridCol w:w="281"/>
        <w:gridCol w:w="934"/>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19,297 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4,794 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Unallocated Corporate Expenses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$19.3 million, or 15.0%, primarily due to the increase in revenues before reimbursable expenses and a decrease in contractor expenses; partially offset by increases in compensation costs for our revenue-generating professionals, practice administration and meetings expenses, bad debt expense, technology costs, promotion and marketing expenses, and compensation costs for our support personnel. The increases in compensation costs for our revenue-generating professionals and support personnel were primarily driven by an increase in headcount and annual salary increases that went into effect in the first quarter of 2024 and an increase in performance bonus expense for our revenue-generating professionals; partially offset by a decrease in signing, retention and other bonus expense for our revenue-generating professionals. Healthcare operating margin increased to 26.6% from 25.6% primarily due to the decrease in contractor expenses; partially offset by an increase in salaries and related expenses for our revenue-generating professionals, as a percentage of revenues before reimbursable expenses.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operating income increased $4.8 million, or 6.2%, primarily due to the increase in revenues before reimbursable expenses as well as a decrease in contractor expenses; partially offset by increases in compensation costs for our revenue-generating professionals and support personnel and technology costs. The increases in compensation costs for our revenue-generating professionals and support personnel were primarily driven by an increase in headcount and annual salary increases that went into effect in the first quarter of 2024; partially offset by a decrease in performance bonus expense for our revenue-generating professionals. Education operating margin decreased to 23.0% from 23.7% primarily driven by increases in salaries and related expenses for both our revenue-generating professionals and support personnel, as percentages of revenues before reimbursable expenses; partially offset by the decreases in performance bonus expense for our revenue-generating professionals and contractor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operating income decreased $0.8 million, or 1.9%, primarily due to the decrease in revenues before reimbursable expenses; partially offset by decreases in compensation costs for our revenue-generating professionals, contractor expenses, and promotion and marketing expenses. The decrease in compensation costs for our revenue-generating professionals was primarily driven by a decrease in performance bonus expense; partially offset by an increase in headcount and annual salary increases that went into effect in the first quarter of 2024. Commercial operating margin increased to 20.8% from 20.5% primarily driven by decreases in performance bonus expense for our revenue-generating professionals, contractor expenses and promotion and marketing expenses, as percentages of revenues before reimbursable expenses; partially offset by an increase in salaries and related expenses for our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Unallocated corporate expenses </w:t>
      </w:r>
      <w:r>
        <w:rPr>
          <w:rFonts w:ascii="Arial Narrow;sans-serif" w:hAnsi="Arial Narrow;sans-serif"/>
          <w:b w:val="false"/>
          <w:color w:val="000000"/>
          <w:sz w:val="20"/>
        </w:rPr>
        <w:t>increased $13.6 million, or 10.5%, primarily due to increases in compensation costs for our support personnel, software and data hosting expenses, and legal expenses. The increase in compensation costs for our support personnel was primarily driven by an increase in headcount and annual salary increases that went into effect in the first quarter of 2024 and an increase in deferred compensation expense attributable to the change in market value of our deferred compensation liability; partially offset by a decrease in performance bonus expense for our support personnel.</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$4.7 million to $19.9 million in the first nine months of 2024 from $15.1 million in the first nine months of 2023, which was primarily attributable to higher levels of borrowing and higher interest rates under our Amended Credit Facility during the first nine months of 2024 compared to the first nine months of 2023. See “Liquidity and Capital Resources” below and Note 7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net increased $3.6 million to $5.4 million in the first nine months of 2024 from $1.8 million in the first nine months of 2023. The increase in other income, net was primarily attributable to a $3.2 million increase in the gain recognized for the market value of our investments that are used to fund our deferred compensation liability. During the first nine months of 2024, we recognized a $5.0 million gain for the market value of our deferred compensation investments compared to a $1.8 million gain recognized in the first nine months of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2024, our effective tax rate was 22.9% as we recognized income tax expense of $24.6 million on income of $107.2 million. The effective tax rate of 22.9% was more favorable than the statutory rate, inclusive of state income taxes, of 26.1%, primarily due to a discrete tax benefit for share-based compensation awards that vested during the first quarter of 2024 and a tax benefit related to non-taxable gains on our investments used to fund our deferred compensation liability. These favorable items were partially offset by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nine months ended September 30, 2023, our effective tax rate was 27.4% as we recognized income tax expense of $22.5 million on income of $82.1 million. The effective tax rate of 27.4% was less favorable than the statutory rate, inclusive of state income taxes, of 26.6%, primarily due to certain nondeductible expense items. These unfavorable items were partially offset by a discrete tax benefit for share-based compensation awards that vested during the year.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increased $23.0 million, or 38.5%, to $82.6 million for the nine months ended September 30, 2024 from $59.6 million for the same period last year. Net income for the first nine months of 2024 includes the $11.1 million litigation settlement gain, net of tax, recognized in the second quarter of 2024 related to a completed legal matter in which Huron was the plaintiff. Diluted earnings per share for the nine months ended September 30, 2024 increased to $4.43 compared to $3.05 for the nine months ended September 30, 2023, driven by the increase in net income and a reduction in diluted shares outstanding resulting from share repurchases made under our share repurchase plan.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increased $29.6 million to $146.1 million for the nine months ended September 30, 2024 from $116.5 million for the nine months ended September 30, 2023. The increase in EBITDA was primarily attributable to the increases in Healthcare and Education operating income, excluding segment depreciation and amortization, as well as the pre-tax $15.0 million litigation settlement gain recognized in the second quarter of 2024 for a completed legal matter in which Huron was the plaintiff; partially offset by the increase in unallocated corporate expenses, excluding the impact of the change in the market value of our deferred compensation liability.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$18.4 million to $144.4 million in the first nine months of 2024 from $126.0 million in the first nine months of 2023. The increase in adjusted EBITDA was primarily attributable to the increases in Healthcare and Education operating income, excluding the impact of segment depreciation and amortization and segment restructuring charges; partially offset by the increase in unallocated corporate expenses, excluding the impacts of the change in the market value of our deferred compensation liability and transaction-related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from Continuing Operations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net income increased $14.1 million, or 19.8%, to $85.3 million in the first nine months of 2024 compared to $71.2 million in the first nine months of 2023. Adjusted diluted earnings per share increased to $4.57 for the nine months ended September 30, 2024, compared to $3.64 for the nine months ended September 30, 2023, driven by the increase in adjusted net income and a reduction in diluted shares outstanding resulting from share repurchases made under our share repurchase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were $18.5 million and $12.1 million at September 30, 2024 and December 31, 2023, respectively. As of September 30, 2024, our primary sources of liquidity are cash on hand, cash flows from our U.S. operations, and borrowing capacity available under our credit facility.</w:t>
      </w:r>
    </w:p>
    <w:tbl>
      <w:tblPr>
        <w:tblW w:w="6516" w:type="dxa"/>
        <w:jc w:val="center"/>
        <w:tblInd w:w="0" w:type="dxa"/>
        <w:tblLayout w:type="fixed"/>
        <w:tblCellMar>
          <w:top w:w="28" w:type="dxa"/>
          <w:left w:w="28" w:type="dxa"/>
          <w:bottom w:w="28" w:type="dxa"/>
          <w:right w:w="28" w:type="dxa"/>
        </w:tblCellMar>
      </w:tblPr>
      <w:tblGrid>
        <w:gridCol w:w="1416"/>
        <w:gridCol w:w="1248"/>
        <w:gridCol w:w="1251"/>
        <w:gridCol w:w="109"/>
        <w:gridCol w:w="109"/>
        <w:gridCol w:w="109"/>
        <w:gridCol w:w="196"/>
        <w:gridCol w:w="646"/>
        <w:gridCol w:w="109"/>
        <w:gridCol w:w="109"/>
        <w:gridCol w:w="109"/>
        <w:gridCol w:w="109"/>
        <w:gridCol w:w="196"/>
        <w:gridCol w:w="646"/>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Nine Months Ended</w:t>
              <w:br/>
              <w:t>September 30,</w:t>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 increased by $6.8 million to $61.7 million for the nine months ended September 30, 2024 from $54.9 million for the nine months ended September 30, 2023. The increase in net cash provided by operating activities was primarily related to an increase in cash collections in the first nine months of 2024, a $15 million litigation settlement received for a completed legal matter in which Huron was the plaintiff, and a decrease in payments for contractor expenses; partially offset by an increase in payments for salaries and related expenses for our revenue-generating professionals, an increase in the amount paid for annual performance bonuses in the first quarter of 2024 compared to the first quarter of 2023, and an increase in payments for selling, general and administrative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a hospital-at-home company, and investments in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$48.0 million for the nine months ended September 30, 2024, which primarily consisted of $20.8 million for the purchases of businesses; $19.3 million for payments related to internally developed software to advance our Healthcare and Education software products; $6.0 million for purchases of property and equipment, primarily related to purchases of computers and related equipment and leasehold improvements for certain office spaces; and $2.2 million for contributions to our life insurance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$25.8 million for the nine months ended September 30, 2023, which primarily consisted of $19.6 million for payments related to internally developed software to advance our Healthcare and Education software products; $5.1 million for purchases of property and equipment, primarily related to purchases of computers and related equipment and leasehold improvements for certain office spaces; $2.6 million for contributions to our life insurance policies; and $1.6 million for the purchase of a business. These uses of cash for investing activities were partially offset by $3.0 million of cash received for distributions from our life insurance policies that are used to fund our deferred compensation liability.</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estimate that cash utilized for purchases of property and equipment and software development in 2024 will total approximately $35 million to $40 million; primarily consisting of software development costs, leasehold improvements and furniture and fixtures for certain office locations, and information technology related equipment to support our corporate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$7.3 million for the nine months ended September 30, 2024. During the nine months ended September 30, 2024, we borrowed $682.5 million and made repayments on our borrowings of $563.4 million. The borrowings and repayments during the first nine months of 2024 include the $275.0 million Term Loan proceeds which were used to repay borrowings under the Revolver in the first quarter of 2024. The net borrowings of $119.1 million were primarily used to fund our operations, including our annual performance bonus payments in the first quarter of 2024. Additionally, during the first nine months of 2024, we paid $104.6 million for the settlement of share repurchases and we reacquired $21.5 million of common stock as a result of tax withholdings upon vesting of share-based compensation. We also made payments of $1.4 million for debt issuance costs related to the Term Loan. These uses of cash for financing activities were partially offset by $1.6 million of cash received from stock option exercises in the first nine months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$31.5 million for the nine months ended September 30, 2023. During the nine months ended September 30, 2023, we borrowed $292.0 million primarily to fund our operations, including our annual performance bonus payment in the first quarter of 2023, and made repayments on our borrowings of $224.0 million. Additionally, during the first nine months of 2023, we paid $88.9 million for the settlement of share repurchases and we reacquired $10.1 million of common stock as a result of tax withholdings upon vesting of share-based compensation. We also made deferred acquisition payments of $1.5 million to the sellers of certain businesses we acquired. These payments were primarily the result of achieving specified financial performance targets in accordance with the related purchase agreements.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2021.The share repurchase program has been subsequently extended and increased, most recently in the second quarter of 2024. The current authorization extends the share repurchase program through December 31, 2025 with a repurchase amount of $500 million, of which $82.7 million remains available as of September 30, 2024.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At September 30, 2024, we had $443.1 million outstanding under our Amended Credit Agreement, as discussed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was established in February 2024 with the execution of Amendment No. 2 to the Third Amended and Restated Credit Agreement. The Term Loan is subject to scheduled quarterly amortization payments of $3.4 million which began June 30, 2024 and continue through the maturity date of November 15, 2027, at which time the outstanding principal balance and all accrued interest will be due.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 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related to certain environmental, social and governance goals of the Company. Based upon the performance of the Company against those key performance indicators in each Reference Year (as defined in the Amended Credit Agreement),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September 30, 2024 and December 31, 2023, we were in compliance with these financial covenants. Our Consolidated Leverage Ratio as of September 30, 2024 was 1.91 to 1.00, compared to 1.59 to 1.00 as of December 31, 2023. Our Consolidated Interest Coverage Ratio as of September 30, 2024 was 9.90 to 1.00, compared to 10.85 to 1.00 as of December 31,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at September 30, 2024 and December 31, 2023 totaled $443.1 million and $324.0 million, respectively. Of the $443.1 million outstanding as of September 30, 2024, $175.0 million was outstanding under the Revolver and $268.1 million was outstanding under the Term Loan. There were no borrowings outstanding under the Term Loan at December 31, 2023. These borrowings carried a weighted average interest rate of 4.9% at September 30, 2024 and 4.2% at December 31, 2023, including the impact of the interest rate swaps described in Note 9 “Derivative Instruments and Hedging Activity” within the notes to the consolidated financial statements.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September 30, 2024, we had outstanding letters of credit totaling $0.6 million, which are used as security deposits for our office facilities. As of September 30, 2024, the unused borrowing capacity under the Revolver was $424.4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7 “Financing Arrangements” for additional information on our senior secured credit facility within the notes to the consolidated financial statements.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2023. There have been no material changes to our critical accounting policies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3 “New Accounting Pronouncements” within the notes to the consolidated financial statements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674" w:type="dxa"/>
        <w:jc w:val="left"/>
        <w:tblInd w:w="0" w:type="dxa"/>
        <w:tblLayout w:type="fixed"/>
        <w:tblCellMar>
          <w:top w:w="28" w:type="dxa"/>
          <w:left w:w="28" w:type="dxa"/>
          <w:bottom w:w="28" w:type="dxa"/>
          <w:right w:w="28" w:type="dxa"/>
        </w:tblCellMar>
      </w:tblPr>
      <w:tblGrid>
        <w:gridCol w:w="250"/>
        <w:gridCol w:w="219"/>
        <w:gridCol w:w="221"/>
        <w:gridCol w:w="1752"/>
        <w:gridCol w:w="1752"/>
        <w:gridCol w:w="248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senior secured credit facility. At our option, these borrowings bear interest at one, three or six month Term SOFR or, in the case of the Revolver, an alternate base rate. At September 30, 2024, we had borrowings outstanding under the credit facility totaling $443.1 million that carried a weighted average interest rate of 4.9%, including the impact of the interest rate swaps described below. A hypothetical 100 basis point change in the interest rate would have a $1.4 million effect on our pretax income on an annualized basis, including the effect of the interest rate swaps. At December 31, 2023, we had borrowings outstanding under the credit facility totaling $324.0 million that carried a weighted average interest rate of 4.2% including the impact of the interest rate swaps described below. A hypothetical 100 basis point change in the interest rate would have had a $0.7 million effect on our pretax income on an annualized basis, including the effect of the 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September 30, 2024 and December 31, 2023, the aggregate notional amount of our forward interest rate swap agreements was $300.0 million and $250.0 million, respectively. The outstanding interest rate swap agreements as of September 30, 2024 are scheduled to mature on a staggered basis through January 31, 2029.</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foreign currency exchange rates between the U.S. Dollar (USD) and the Indian Rupee (INR) related to our operations in India. We hedge a portion of our cash flow exposure related to our INR-denominated intercompany expenses by entering into non-deliverable foreign exchange forward contracts. As of September 30, 2024 and December 31, 2023, the aggregate notional amounts of these contracts were INR 1,390.2 million, or $16.6 million, and INR 1,375.7 million, or $16.6 million, respectively, based on the exchange rates in effect as of each period end. The outstanding foreign exchange forward contracts as of September 30, 2024 are scheduled to mature monthly through August 31,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 reflect the offsetting gain or loss on the underlying exposure. A hypothetical 100 basis point change in the foreign currency exchange rate between the USD and INR would have an immaterial impact on the fair value of our hedge instruments as of September 30, 2024 and December 31,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September 30, 2024, the fair value of the investment was $57.0 million, with a total cost basis of $40.9 million. At December 31, 2023, the fair value of the investment was $68.0 million, with a total cost basis of $40.9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preferred stock investment in a privately-held hospital-at-home company, which we account for as an equity security without a readily determinable fair value using the measurement alternative. As such, the investment is carried at cost minus impairment, plus or minus changes resulting from observable price changes in orderly transactions for the identical or similar investment. As of September 30, 2024 and December 31, 2023, the carrying value of the investment was $7.4 million with a total cost basis of $5.0 million.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9 “Derivative Instruments and Hedging Activity” within the notes to our consolidated financial statements for additional information on our derivative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90" w:type="dxa"/>
        <w:jc w:val="left"/>
        <w:tblInd w:w="0" w:type="dxa"/>
        <w:tblLayout w:type="fixed"/>
        <w:tblCellMar>
          <w:top w:w="28" w:type="dxa"/>
          <w:left w:w="28" w:type="dxa"/>
          <w:bottom w:w="28" w:type="dxa"/>
          <w:right w:w="28" w:type="dxa"/>
        </w:tblCellMar>
      </w:tblPr>
      <w:tblGrid>
        <w:gridCol w:w="250"/>
        <w:gridCol w:w="219"/>
        <w:gridCol w:w="221"/>
        <w:gridCol w:w="790"/>
        <w:gridCol w:w="790"/>
        <w:gridCol w:w="112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2024. Based on this evaluation, our Chief Executive Officer and Chief Financial Officer have concluded that, as of September 30, 2024,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September 30,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pPr>
      <w:r>
        <w:rPr>
          <w:rFonts w:ascii="Arial Narrow;sans-serif" w:hAnsi="Arial Narrow;sans-serif"/>
          <w:b/>
          <w:color w:val="000000"/>
          <w:sz w:val="20"/>
        </w:rPr>
        <w:t>PART II—OTHER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69" w:type="dxa"/>
        <w:jc w:val="left"/>
        <w:tblInd w:w="0" w:type="dxa"/>
        <w:tblLayout w:type="fixed"/>
        <w:tblCellMar>
          <w:top w:w="28" w:type="dxa"/>
          <w:left w:w="28" w:type="dxa"/>
          <w:bottom w:w="28" w:type="dxa"/>
          <w:right w:w="28" w:type="dxa"/>
        </w:tblCellMar>
      </w:tblPr>
      <w:tblGrid>
        <w:gridCol w:w="250"/>
        <w:gridCol w:w="219"/>
        <w:gridCol w:w="221"/>
        <w:gridCol w:w="579"/>
        <w:gridCol w:w="579"/>
        <w:gridCol w:w="82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6" w:type="dxa"/>
        <w:jc w:val="left"/>
        <w:tblInd w:w="0" w:type="dxa"/>
        <w:tblLayout w:type="fixed"/>
        <w:tblCellMar>
          <w:top w:w="28" w:type="dxa"/>
          <w:left w:w="28" w:type="dxa"/>
          <w:bottom w:w="28" w:type="dxa"/>
          <w:right w:w="28" w:type="dxa"/>
        </w:tblCellMar>
      </w:tblPr>
      <w:tblGrid>
        <w:gridCol w:w="294"/>
        <w:gridCol w:w="258"/>
        <w:gridCol w:w="259"/>
        <w:gridCol w:w="417"/>
        <w:gridCol w:w="417"/>
        <w:gridCol w:w="5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Part 1, Item 1A, “Risk Factors” in our Annual Report on Form 10-K for the fiscal year ended December 31, 2023 (the "2023 Form 10-K"), which was filed with the Securities and Exchange Commission on February 27, 2024, for a complete description of the material risks we face. There have been no material changes to the Company’s risk factors since the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90" w:type="dxa"/>
        <w:jc w:val="left"/>
        <w:tblInd w:w="0" w:type="dxa"/>
        <w:tblLayout w:type="fixed"/>
        <w:tblCellMar>
          <w:top w:w="28" w:type="dxa"/>
          <w:left w:w="28" w:type="dxa"/>
          <w:bottom w:w="28" w:type="dxa"/>
          <w:right w:w="28" w:type="dxa"/>
        </w:tblCellMar>
      </w:tblPr>
      <w:tblGrid>
        <w:gridCol w:w="250"/>
        <w:gridCol w:w="219"/>
        <w:gridCol w:w="221"/>
        <w:gridCol w:w="1757"/>
        <w:gridCol w:w="1757"/>
        <w:gridCol w:w="248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UNREGISTERED SALES OF EQUITY SECURITIES AND USE OF PROCEEDS.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Stock Ownership Participation Program and 2012 Omnibus Incentive Plan permit the netting of common stock upon vesting of restricted stock awards to satisfy individual tax withholding requirements. During the quarter ended September 30, 2024, we reacquired 3,814 shares of common stock with a weighted average fair market value of $99.09 as a result of such tax withholdings.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second quarter of 2024. The current authorization extends the share repurchase program through December 31, 2025 with a repurchase amount of $500 million, of which $82.7 million remains available as of September 30, 2024.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with respect to purchases we made of our common stock during the quarter ended September 30, 2024.</w:t>
      </w:r>
    </w:p>
    <w:tbl>
      <w:tblPr>
        <w:tblW w:w="10205" w:type="dxa"/>
        <w:jc w:val="center"/>
        <w:tblInd w:w="0" w:type="dxa"/>
        <w:tblLayout w:type="fixed"/>
        <w:tblCellMar>
          <w:top w:w="28" w:type="dxa"/>
          <w:left w:w="28" w:type="dxa"/>
          <w:bottom w:w="28" w:type="dxa"/>
          <w:right w:w="28" w:type="dxa"/>
        </w:tblCellMar>
      </w:tblPr>
      <w:tblGrid>
        <w:gridCol w:w="893"/>
        <w:gridCol w:w="629"/>
        <w:gridCol w:w="632"/>
        <w:gridCol w:w="109"/>
        <w:gridCol w:w="109"/>
        <w:gridCol w:w="109"/>
        <w:gridCol w:w="695"/>
        <w:gridCol w:w="687"/>
        <w:gridCol w:w="689"/>
        <w:gridCol w:w="109"/>
        <w:gridCol w:w="109"/>
        <w:gridCol w:w="109"/>
        <w:gridCol w:w="256"/>
        <w:gridCol w:w="846"/>
        <w:gridCol w:w="144"/>
        <w:gridCol w:w="109"/>
        <w:gridCol w:w="109"/>
        <w:gridCol w:w="109"/>
        <w:gridCol w:w="510"/>
        <w:gridCol w:w="510"/>
        <w:gridCol w:w="511"/>
        <w:gridCol w:w="109"/>
        <w:gridCol w:w="109"/>
        <w:gridCol w:w="109"/>
        <w:gridCol w:w="282"/>
        <w:gridCol w:w="1386"/>
        <w:gridCol w:w="227"/>
      </w:tblGrid>
      <w:tr>
        <w:trPr/>
        <w:tc>
          <w:tcPr>
            <w:tcW w:w="89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 xml:space="preserve">Total Number of Shares Purchased </w:t>
            </w:r>
            <w:r>
              <w:rPr>
                <w:rFonts w:ascii="Arial Narrow;sans-serif" w:hAnsi="Arial Narrow;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Dollar Value of Shares</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that may yet be</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Purchased under the</w:t>
            </w:r>
          </w:p>
          <w:p>
            <w:pPr>
              <w:pStyle w:val="TableContents"/>
              <w:bidi w:val="0"/>
              <w:spacing w:lineRule="auto" w:line="240" w:before="0" w:after="0"/>
              <w:jc w:val="center"/>
              <w:rPr/>
            </w:pPr>
            <w:r>
              <w:rPr>
                <w:rFonts w:ascii="Arial Narrow;sans-serif" w:hAnsi="Arial Narrow;sans-serif"/>
                <w:b/>
                <w:color w:val="000000"/>
                <w:sz w:val="20"/>
              </w:rPr>
              <w:t xml:space="preserve">Plans or Programs </w:t>
            </w:r>
            <w:r>
              <w:rPr>
                <w:rFonts w:ascii="Arial Narrow;sans-serif" w:hAnsi="Arial Narrow;sans-serif"/>
                <w:b/>
                <w:color w:val="000000"/>
                <w:sz w:val="13"/>
              </w:rPr>
              <w:t>(2)</w:t>
            </w:r>
          </w:p>
        </w:tc>
      </w:tr>
      <w:tr>
        <w:trPr/>
        <w:tc>
          <w:tcPr>
            <w:tcW w:w="2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July 1, 2024 - July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36,862 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107.92 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33,177 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86,333,019 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1, 2024 - August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33,306 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33,177 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82,659,698 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September 1, 2024 -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82,659,698 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70,168 </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66,354 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(1)The number of shares repurchased included 3,685 shares in July 2024 and 129 shares in August 2024 to satisfy employee tax withholding requirements. These shares do not reduce the repurchase authority under the share repurchase program.</w:t>
      </w:r>
    </w:p>
    <w:p>
      <w:pPr>
        <w:pStyle w:val="TextBody"/>
        <w:bidi w:val="0"/>
        <w:spacing w:lineRule="auto" w:line="288" w:before="6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960" w:type="dxa"/>
        <w:jc w:val="left"/>
        <w:tblInd w:w="0" w:type="dxa"/>
        <w:tblLayout w:type="fixed"/>
        <w:tblCellMar>
          <w:top w:w="28" w:type="dxa"/>
          <w:left w:w="28" w:type="dxa"/>
          <w:bottom w:w="28" w:type="dxa"/>
          <w:right w:w="28" w:type="dxa"/>
        </w:tblCellMar>
      </w:tblPr>
      <w:tblGrid>
        <w:gridCol w:w="250"/>
        <w:gridCol w:w="219"/>
        <w:gridCol w:w="221"/>
        <w:gridCol w:w="958"/>
        <w:gridCol w:w="958"/>
        <w:gridCol w:w="135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DEFAULTS UPON SENIOR SECURITIES.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94" w:type="dxa"/>
        <w:jc w:val="left"/>
        <w:tblInd w:w="0" w:type="dxa"/>
        <w:tblLayout w:type="fixed"/>
        <w:tblCellMar>
          <w:top w:w="28" w:type="dxa"/>
          <w:left w:w="28" w:type="dxa"/>
          <w:bottom w:w="28" w:type="dxa"/>
          <w:right w:w="28" w:type="dxa"/>
        </w:tblCellMar>
      </w:tblPr>
      <w:tblGrid>
        <w:gridCol w:w="250"/>
        <w:gridCol w:w="219"/>
        <w:gridCol w:w="221"/>
        <w:gridCol w:w="733"/>
        <w:gridCol w:w="733"/>
        <w:gridCol w:w="103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54" w:type="dxa"/>
        <w:jc w:val="left"/>
        <w:tblInd w:w="0" w:type="dxa"/>
        <w:tblLayout w:type="fixed"/>
        <w:tblCellMar>
          <w:top w:w="28" w:type="dxa"/>
          <w:left w:w="28" w:type="dxa"/>
          <w:bottom w:w="28" w:type="dxa"/>
          <w:right w:w="28" w:type="dxa"/>
        </w:tblCellMar>
      </w:tblPr>
      <w:tblGrid>
        <w:gridCol w:w="250"/>
        <w:gridCol w:w="219"/>
        <w:gridCol w:w="221"/>
        <w:gridCol w:w="574"/>
        <w:gridCol w:w="574"/>
        <w:gridCol w:w="81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Securities Trading Plans of Directors and Executive Officers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describes contracts, instructions or written plans for the sale or purchase of our securities adopted by our executive officers and/or directors during the third quarter of 2024, each of which is intended to satisfy the affirmative defense conditions of Rule 10b5-1(c), referred to as Rule 10b5-1 trading plans.</w:t>
      </w:r>
    </w:p>
    <w:tbl>
      <w:tblPr>
        <w:tblW w:w="10205" w:type="dxa"/>
        <w:jc w:val="left"/>
        <w:tblInd w:w="0" w:type="dxa"/>
        <w:tblLayout w:type="fixed"/>
        <w:tblCellMar>
          <w:top w:w="28" w:type="dxa"/>
          <w:left w:w="28" w:type="dxa"/>
          <w:bottom w:w="28" w:type="dxa"/>
          <w:right w:w="28" w:type="dxa"/>
        </w:tblCellMar>
      </w:tblPr>
      <w:tblGrid>
        <w:gridCol w:w="858"/>
        <w:gridCol w:w="754"/>
        <w:gridCol w:w="743"/>
        <w:gridCol w:w="109"/>
        <w:gridCol w:w="109"/>
        <w:gridCol w:w="109"/>
        <w:gridCol w:w="244"/>
        <w:gridCol w:w="244"/>
        <w:gridCol w:w="248"/>
        <w:gridCol w:w="109"/>
        <w:gridCol w:w="109"/>
        <w:gridCol w:w="109"/>
        <w:gridCol w:w="561"/>
        <w:gridCol w:w="561"/>
        <w:gridCol w:w="563"/>
        <w:gridCol w:w="109"/>
        <w:gridCol w:w="109"/>
        <w:gridCol w:w="109"/>
        <w:gridCol w:w="755"/>
        <w:gridCol w:w="755"/>
        <w:gridCol w:w="757"/>
        <w:gridCol w:w="109"/>
        <w:gridCol w:w="109"/>
        <w:gridCol w:w="109"/>
        <w:gridCol w:w="540"/>
        <w:gridCol w:w="540"/>
        <w:gridCol w:w="77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Date of Rule 10b5-1 Trading Plan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Expiration Date of 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 Number of Shares to be Sold</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John McCartney - Non-Executive Chairman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5/29/2026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9,000</w:t>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third quarter of 2024, none of our executive officers or directors terminated contracts, instructions or written plans for the sale or purchase of our securities intended to satisfy the affirmative defense condition of Rule 10b5-1(c) or adopted or terminated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636" w:type="dxa"/>
        <w:jc w:val="left"/>
        <w:tblInd w:w="0" w:type="dxa"/>
        <w:tblLayout w:type="fixed"/>
        <w:tblCellMar>
          <w:top w:w="28" w:type="dxa"/>
          <w:left w:w="28" w:type="dxa"/>
          <w:bottom w:w="28" w:type="dxa"/>
          <w:right w:w="28" w:type="dxa"/>
        </w:tblCellMar>
      </w:tblPr>
      <w:tblGrid>
        <w:gridCol w:w="250"/>
        <w:gridCol w:w="219"/>
        <w:gridCol w:w="221"/>
        <w:gridCol w:w="277"/>
        <w:gridCol w:w="277"/>
        <w:gridCol w:w="392"/>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w:t>
            </w:r>
          </w:p>
        </w:tc>
      </w:tr>
    </w:tbl>
    <w:p>
      <w:pPr>
        <w:pStyle w:val="TextBody"/>
        <w:bidi w:val="0"/>
        <w:spacing w:lineRule="auto" w:line="288" w:before="80" w:after="283"/>
        <w:jc w:val="left"/>
        <w:rPr/>
      </w:pPr>
      <w:r>
        <w:rPr>
          <w:rFonts w:ascii="Arial Narrow;sans-serif" w:hAnsi="Arial Narrow;sans-serif"/>
          <w:b w:val="false"/>
          <w:color w:val="000000"/>
          <w:sz w:val="20"/>
        </w:rPr>
        <w:t>(a) The following exhibits are filed as part of this Quarterly Report on Form 10-Q.</w:t>
      </w:r>
      <w:r>
        <w:rPr>
          <w:color w:val="000000"/>
        </w:rPr>
        <w:t> </w:t>
      </w:r>
    </w:p>
    <w:tbl>
      <w:tblPr>
        <w:tblW w:w="10205" w:type="dxa"/>
        <w:jc w:val="left"/>
        <w:tblInd w:w="0" w:type="dxa"/>
        <w:tblLayout w:type="fixed"/>
        <w:tblCellMar>
          <w:top w:w="28" w:type="dxa"/>
          <w:left w:w="28" w:type="dxa"/>
          <w:bottom w:w="28" w:type="dxa"/>
          <w:right w:w="28" w:type="dxa"/>
        </w:tblCellMar>
      </w:tblPr>
      <w:tblGrid>
        <w:gridCol w:w="242"/>
        <w:gridCol w:w="213"/>
        <w:gridCol w:w="215"/>
        <w:gridCol w:w="109"/>
        <w:gridCol w:w="109"/>
        <w:gridCol w:w="109"/>
        <w:gridCol w:w="1255"/>
        <w:gridCol w:w="1154"/>
        <w:gridCol w:w="1123"/>
        <w:gridCol w:w="109"/>
        <w:gridCol w:w="109"/>
        <w:gridCol w:w="109"/>
        <w:gridCol w:w="230"/>
        <w:gridCol w:w="230"/>
        <w:gridCol w:w="231"/>
        <w:gridCol w:w="109"/>
        <w:gridCol w:w="109"/>
        <w:gridCol w:w="109"/>
        <w:gridCol w:w="270"/>
        <w:gridCol w:w="270"/>
        <w:gridCol w:w="271"/>
        <w:gridCol w:w="109"/>
        <w:gridCol w:w="109"/>
        <w:gridCol w:w="109"/>
        <w:gridCol w:w="155"/>
        <w:gridCol w:w="155"/>
        <w:gridCol w:w="156"/>
        <w:gridCol w:w="109"/>
        <w:gridCol w:w="109"/>
        <w:gridCol w:w="109"/>
        <w:gridCol w:w="200"/>
        <w:gridCol w:w="200"/>
        <w:gridCol w:w="201"/>
        <w:gridCol w:w="109"/>
        <w:gridCol w:w="109"/>
        <w:gridCol w:w="109"/>
        <w:gridCol w:w="195"/>
        <w:gridCol w:w="195"/>
        <w:gridCol w:w="196"/>
        <w:gridCol w:w="109"/>
        <w:gridCol w:w="109"/>
        <w:gridCol w:w="109"/>
        <w:gridCol w:w="162"/>
        <w:gridCol w:w="162"/>
        <w:gridCol w:w="235"/>
      </w:tblGrid>
      <w:tr>
        <w:trPr/>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Furnished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Period</w:t>
              <w:br/>
              <w:t>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w:t>
              <w:br/>
              <w:t>Date</w:t>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930exhibit311.htm">
              <w:r>
                <w:rPr>
                  <w:rStyle w:val="InternetLink"/>
                  <w:rFonts w:ascii="Arial Narrow;sans-serif" w:hAnsi="Arial Narrow;sans-serif"/>
                  <w:b w:val="false"/>
                  <w:color w:val="0000FF"/>
                  <w:sz w:val="18"/>
                  <w:u w:val="single"/>
                </w:rPr>
                <w:t>Certification of the Chief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930exhibit312.htm">
              <w:r>
                <w:rPr>
                  <w:rStyle w:val="InternetLink"/>
                  <w:rFonts w:ascii="Arial Narrow;sans-serif" w:hAnsi="Arial Narrow;sans-serif"/>
                  <w:b w:val="false"/>
                  <w:color w:val="0000FF"/>
                  <w:sz w:val="18"/>
                  <w:u w:val="single"/>
                </w:rPr>
                <w:t>Certification of the Chief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930exhibit321.htm">
              <w:r>
                <w:rPr>
                  <w:rStyle w:val="InternetLink"/>
                  <w:rFonts w:ascii="Arial Narrow;sans-serif" w:hAnsi="Arial Narrow;sans-serif"/>
                  <w:b w:val="false"/>
                  <w:color w:val="0000FF"/>
                  <w:sz w:val="18"/>
                  <w:u w:val="single"/>
                </w:rPr>
                <w:t>Certification of the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930exhibit322.htm">
              <w:r>
                <w:rPr>
                  <w:rStyle w:val="InternetLink"/>
                  <w:rFonts w:ascii="Arial Narrow;sans-serif" w:hAnsi="Arial Narrow;sans-serif"/>
                  <w:b w:val="false"/>
                  <w:color w:val="0000FF"/>
                  <w:sz w:val="18"/>
                  <w:u w:val="single"/>
                </w:rPr>
                <w:t>Certification of the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c0fea722bc843179ddd7261215ebfa0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color w:val="000000"/>
        </w:rPr>
      </w:pPr>
      <w:r>
        <w:rPr>
          <w:color w:val="000000"/>
        </w:rPr>
        <w:t> </w:t>
      </w:r>
    </w:p>
    <w:tbl>
      <w:tblPr>
        <w:tblW w:w="5303" w:type="dxa"/>
        <w:jc w:val="left"/>
        <w:tblInd w:w="0" w:type="dxa"/>
        <w:tblLayout w:type="fixed"/>
        <w:tblCellMar>
          <w:top w:w="28" w:type="dxa"/>
          <w:left w:w="28" w:type="dxa"/>
          <w:bottom w:w="28" w:type="dxa"/>
          <w:right w:w="28" w:type="dxa"/>
        </w:tblCellMar>
      </w:tblPr>
      <w:tblGrid>
        <w:gridCol w:w="184"/>
        <w:gridCol w:w="162"/>
        <w:gridCol w:w="164"/>
        <w:gridCol w:w="449"/>
        <w:gridCol w:w="449"/>
        <w:gridCol w:w="451"/>
        <w:gridCol w:w="109"/>
        <w:gridCol w:w="109"/>
        <w:gridCol w:w="109"/>
        <w:gridCol w:w="109"/>
        <w:gridCol w:w="109"/>
        <w:gridCol w:w="109"/>
        <w:gridCol w:w="817"/>
        <w:gridCol w:w="817"/>
        <w:gridCol w:w="1156"/>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October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04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49"/>
        <w:gridCol w:w="449"/>
        <w:gridCol w:w="45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October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04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49"/>
        <w:gridCol w:w="449"/>
        <w:gridCol w:w="45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October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September 30, 2024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04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49"/>
        <w:gridCol w:w="449"/>
        <w:gridCol w:w="45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October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September 30, 2024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04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49"/>
        <w:gridCol w:w="449"/>
        <w:gridCol w:w="45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October 29,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29287</Words>
  <Characters>166792</Characters>
  <CharactersWithSpaces>194042</CharactersWithSpaces>
  <Paragraphs>3468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